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9B7" w:rsidRPr="000F1E89" w:rsidRDefault="007F59B7" w:rsidP="007F59B7">
      <w:pPr>
        <w:tabs>
          <w:tab w:val="left" w:pos="4962"/>
        </w:tabs>
        <w:spacing w:line="360" w:lineRule="auto"/>
        <w:ind w:left="4253"/>
        <w:contextualSpacing/>
        <w:rPr>
          <w:sz w:val="28"/>
          <w:szCs w:val="28"/>
        </w:rPr>
      </w:pPr>
      <w:r>
        <w:rPr>
          <w:sz w:val="28"/>
          <w:szCs w:val="28"/>
        </w:rPr>
        <w:t xml:space="preserve">УДК </w:t>
      </w:r>
      <w:r w:rsidRPr="00BC2696">
        <w:rPr>
          <w:sz w:val="28"/>
          <w:szCs w:val="28"/>
        </w:rPr>
        <w:t>621.396.967.2</w:t>
      </w:r>
    </w:p>
    <w:p w:rsidR="007F59B7" w:rsidRPr="008B6E2D" w:rsidRDefault="007F59B7" w:rsidP="007F59B7">
      <w:pPr>
        <w:tabs>
          <w:tab w:val="left" w:pos="4962"/>
        </w:tabs>
        <w:spacing w:line="360" w:lineRule="auto"/>
        <w:ind w:left="4253"/>
        <w:contextualSpacing/>
        <w:rPr>
          <w:sz w:val="28"/>
          <w:szCs w:val="28"/>
        </w:rPr>
      </w:pPr>
      <w:r>
        <w:rPr>
          <w:sz w:val="28"/>
          <w:szCs w:val="28"/>
        </w:rPr>
        <w:t>ФАР абонентского терминала системы «Гонец»</w:t>
      </w:r>
    </w:p>
    <w:p w:rsidR="007F59B7" w:rsidRDefault="007F59B7" w:rsidP="007F59B7">
      <w:pPr>
        <w:tabs>
          <w:tab w:val="left" w:pos="4962"/>
        </w:tabs>
        <w:spacing w:line="360" w:lineRule="auto"/>
        <w:ind w:left="4253"/>
        <w:contextualSpacing/>
        <w:rPr>
          <w:sz w:val="28"/>
          <w:szCs w:val="28"/>
        </w:rPr>
      </w:pPr>
      <w:r>
        <w:rPr>
          <w:sz w:val="28"/>
          <w:szCs w:val="28"/>
        </w:rPr>
        <w:t>ИРТСУ, Таганрог, 2015 г.</w:t>
      </w:r>
    </w:p>
    <w:p w:rsidR="007F59B7" w:rsidRDefault="007F59B7" w:rsidP="007F59B7">
      <w:pPr>
        <w:spacing w:line="360" w:lineRule="auto"/>
        <w:contextualSpacing/>
        <w:jc w:val="right"/>
        <w:rPr>
          <w:sz w:val="28"/>
          <w:szCs w:val="28"/>
        </w:rPr>
      </w:pPr>
    </w:p>
    <w:p w:rsidR="007F59B7" w:rsidRDefault="007F59B7" w:rsidP="007F59B7">
      <w:pPr>
        <w:spacing w:line="360" w:lineRule="auto"/>
        <w:contextualSpacing/>
        <w:jc w:val="right"/>
        <w:rPr>
          <w:sz w:val="28"/>
          <w:szCs w:val="28"/>
        </w:rPr>
      </w:pPr>
    </w:p>
    <w:p w:rsidR="007F59B7" w:rsidRDefault="007F59B7" w:rsidP="007F59B7">
      <w:pPr>
        <w:spacing w:line="360" w:lineRule="auto"/>
        <w:contextualSpacing/>
        <w:jc w:val="center"/>
        <w:rPr>
          <w:sz w:val="28"/>
          <w:szCs w:val="28"/>
        </w:rPr>
      </w:pPr>
    </w:p>
    <w:p w:rsidR="007F59B7" w:rsidRDefault="007F59B7" w:rsidP="007F59B7">
      <w:pPr>
        <w:spacing w:line="360" w:lineRule="auto"/>
        <w:contextualSpacing/>
        <w:jc w:val="right"/>
        <w:rPr>
          <w:sz w:val="28"/>
          <w:szCs w:val="28"/>
        </w:rPr>
      </w:pPr>
    </w:p>
    <w:p w:rsidR="007F59B7" w:rsidRDefault="007F59B7" w:rsidP="007F59B7">
      <w:pPr>
        <w:spacing w:line="360" w:lineRule="auto"/>
        <w:contextualSpacing/>
        <w:jc w:val="center"/>
        <w:rPr>
          <w:sz w:val="28"/>
          <w:szCs w:val="28"/>
        </w:rPr>
      </w:pPr>
      <w:r>
        <w:rPr>
          <w:b/>
          <w:sz w:val="28"/>
          <w:szCs w:val="28"/>
        </w:rPr>
        <w:t>АННОТАЦИЯ</w:t>
      </w:r>
    </w:p>
    <w:p w:rsidR="007F59B7" w:rsidRDefault="007F59B7" w:rsidP="007F59B7">
      <w:pPr>
        <w:spacing w:line="360" w:lineRule="auto"/>
        <w:contextualSpacing/>
        <w:jc w:val="center"/>
        <w:rPr>
          <w:sz w:val="28"/>
          <w:szCs w:val="28"/>
        </w:rPr>
      </w:pPr>
    </w:p>
    <w:p w:rsidR="007F59B7" w:rsidRDefault="007F59B7" w:rsidP="007F59B7">
      <w:pPr>
        <w:spacing w:line="360" w:lineRule="auto"/>
        <w:contextualSpacing/>
        <w:rPr>
          <w:sz w:val="28"/>
          <w:szCs w:val="28"/>
        </w:rPr>
      </w:pPr>
      <w:r>
        <w:rPr>
          <w:sz w:val="28"/>
          <w:szCs w:val="28"/>
        </w:rPr>
        <w:tab/>
        <w:t xml:space="preserve">В работе проведены расчеты активной фазированной антенной решетки (АФАР), работающей в системе «Гонец». Рассчитаны каскады модуля АФАР, выбрана элементная база для конструкции, дальнейшей реализации и эксплуатации антенной решетки. Рассмотрены вопросы экономики, безопасности и </w:t>
      </w:r>
      <w:proofErr w:type="spellStart"/>
      <w:r>
        <w:rPr>
          <w:sz w:val="28"/>
          <w:szCs w:val="28"/>
        </w:rPr>
        <w:t>экологичности</w:t>
      </w:r>
      <w:proofErr w:type="spellEnd"/>
      <w:r>
        <w:rPr>
          <w:sz w:val="28"/>
          <w:szCs w:val="28"/>
        </w:rPr>
        <w:t xml:space="preserve"> устройства.</w:t>
      </w:r>
    </w:p>
    <w:p w:rsidR="007F59B7" w:rsidRDefault="007F59B7" w:rsidP="007F59B7">
      <w:pPr>
        <w:spacing w:line="360" w:lineRule="auto"/>
        <w:contextualSpacing/>
        <w:rPr>
          <w:sz w:val="28"/>
          <w:szCs w:val="28"/>
        </w:rPr>
      </w:pPr>
    </w:p>
    <w:p w:rsidR="007F59B7" w:rsidRDefault="007F59B7" w:rsidP="007F59B7">
      <w:pPr>
        <w:spacing w:line="360" w:lineRule="auto"/>
        <w:contextualSpacing/>
        <w:rPr>
          <w:sz w:val="28"/>
          <w:szCs w:val="28"/>
        </w:rPr>
      </w:pPr>
    </w:p>
    <w:p w:rsidR="007F59B7" w:rsidRDefault="007F59B7" w:rsidP="007F59B7">
      <w:pPr>
        <w:spacing w:line="360" w:lineRule="auto"/>
        <w:contextualSpacing/>
        <w:rPr>
          <w:sz w:val="28"/>
          <w:szCs w:val="28"/>
        </w:rPr>
      </w:pPr>
    </w:p>
    <w:p w:rsidR="007F59B7" w:rsidRDefault="007F59B7" w:rsidP="007F59B7">
      <w:pPr>
        <w:spacing w:line="360" w:lineRule="auto"/>
        <w:contextualSpacing/>
        <w:rPr>
          <w:sz w:val="28"/>
          <w:szCs w:val="28"/>
        </w:rPr>
      </w:pPr>
    </w:p>
    <w:p w:rsidR="007F59B7" w:rsidRDefault="007F59B7" w:rsidP="007F59B7">
      <w:pPr>
        <w:spacing w:line="360" w:lineRule="auto"/>
        <w:contextualSpacing/>
        <w:rPr>
          <w:sz w:val="28"/>
          <w:szCs w:val="28"/>
        </w:rPr>
      </w:pPr>
    </w:p>
    <w:p w:rsidR="007F59B7" w:rsidRDefault="007F59B7" w:rsidP="007F59B7">
      <w:pPr>
        <w:spacing w:line="360" w:lineRule="auto"/>
        <w:contextualSpacing/>
        <w:rPr>
          <w:sz w:val="28"/>
          <w:szCs w:val="28"/>
        </w:rPr>
      </w:pPr>
    </w:p>
    <w:p w:rsidR="007F59B7" w:rsidRDefault="007F59B7" w:rsidP="007F59B7">
      <w:pPr>
        <w:spacing w:line="360" w:lineRule="auto"/>
        <w:contextualSpacing/>
        <w:rPr>
          <w:sz w:val="28"/>
          <w:szCs w:val="28"/>
        </w:rPr>
      </w:pPr>
    </w:p>
    <w:p w:rsidR="007F59B7" w:rsidRDefault="007F59B7" w:rsidP="007F59B7">
      <w:pPr>
        <w:spacing w:line="360" w:lineRule="auto"/>
        <w:contextualSpacing/>
        <w:rPr>
          <w:sz w:val="28"/>
          <w:szCs w:val="28"/>
        </w:rPr>
      </w:pPr>
    </w:p>
    <w:p w:rsidR="007F59B7" w:rsidRDefault="007F59B7" w:rsidP="007F59B7">
      <w:pPr>
        <w:spacing w:line="360" w:lineRule="auto"/>
        <w:contextualSpacing/>
        <w:rPr>
          <w:sz w:val="28"/>
          <w:szCs w:val="28"/>
        </w:rPr>
      </w:pPr>
    </w:p>
    <w:p w:rsidR="007F59B7" w:rsidRDefault="007F59B7" w:rsidP="007F59B7">
      <w:pPr>
        <w:spacing w:line="360" w:lineRule="auto"/>
        <w:ind w:left="4253"/>
        <w:contextualSpacing/>
        <w:rPr>
          <w:sz w:val="28"/>
          <w:szCs w:val="28"/>
        </w:rPr>
      </w:pPr>
    </w:p>
    <w:p w:rsidR="007F59B7" w:rsidRDefault="007F59B7" w:rsidP="007F59B7">
      <w:pPr>
        <w:spacing w:line="360" w:lineRule="auto"/>
        <w:ind w:left="4253"/>
        <w:contextualSpacing/>
        <w:rPr>
          <w:sz w:val="28"/>
          <w:szCs w:val="28"/>
        </w:rPr>
      </w:pPr>
    </w:p>
    <w:p w:rsidR="007F59B7" w:rsidRDefault="007F59B7" w:rsidP="007F59B7">
      <w:pPr>
        <w:spacing w:line="360" w:lineRule="auto"/>
        <w:ind w:left="4253"/>
        <w:contextualSpacing/>
        <w:rPr>
          <w:sz w:val="28"/>
          <w:szCs w:val="28"/>
        </w:rPr>
      </w:pPr>
    </w:p>
    <w:p w:rsidR="007F59B7" w:rsidRDefault="007F59B7" w:rsidP="007F59B7">
      <w:pPr>
        <w:spacing w:line="360" w:lineRule="auto"/>
        <w:ind w:left="4253"/>
        <w:contextualSpacing/>
        <w:rPr>
          <w:sz w:val="28"/>
          <w:szCs w:val="28"/>
        </w:rPr>
      </w:pPr>
    </w:p>
    <w:p w:rsidR="007F59B7" w:rsidRDefault="007F59B7" w:rsidP="007F59B7">
      <w:pPr>
        <w:spacing w:line="360" w:lineRule="auto"/>
        <w:ind w:left="4253"/>
        <w:contextualSpacing/>
        <w:rPr>
          <w:sz w:val="28"/>
          <w:szCs w:val="28"/>
        </w:rPr>
      </w:pPr>
      <w:r w:rsidRPr="00346F6A">
        <w:rPr>
          <w:sz w:val="28"/>
          <w:szCs w:val="28"/>
        </w:rPr>
        <w:br/>
      </w:r>
    </w:p>
    <w:p w:rsidR="007F59B7" w:rsidRPr="007F59B7" w:rsidRDefault="007F59B7" w:rsidP="007F59B7">
      <w:pPr>
        <w:spacing w:line="360" w:lineRule="auto"/>
        <w:ind w:left="4253"/>
        <w:contextualSpacing/>
        <w:rPr>
          <w:sz w:val="28"/>
          <w:szCs w:val="28"/>
          <w:lang w:val="en-US"/>
        </w:rPr>
      </w:pPr>
      <w:r>
        <w:rPr>
          <w:sz w:val="28"/>
          <w:szCs w:val="28"/>
          <w:lang w:val="en-US"/>
        </w:rPr>
        <w:lastRenderedPageBreak/>
        <w:t>UDC</w:t>
      </w:r>
      <w:r w:rsidRPr="007F59B7">
        <w:rPr>
          <w:sz w:val="28"/>
          <w:szCs w:val="28"/>
          <w:lang w:val="en-US"/>
        </w:rPr>
        <w:t xml:space="preserve"> 621.396.967.2</w:t>
      </w:r>
    </w:p>
    <w:p w:rsidR="007F59B7" w:rsidRPr="007F59B7" w:rsidRDefault="007F59B7" w:rsidP="007F59B7">
      <w:pPr>
        <w:spacing w:line="360" w:lineRule="auto"/>
        <w:ind w:left="4253"/>
        <w:contextualSpacing/>
        <w:rPr>
          <w:sz w:val="28"/>
          <w:szCs w:val="28"/>
          <w:lang w:val="en-US"/>
        </w:rPr>
      </w:pPr>
      <w:r>
        <w:rPr>
          <w:sz w:val="28"/>
          <w:szCs w:val="28"/>
          <w:lang w:val="en-US"/>
        </w:rPr>
        <w:t>APAA</w:t>
      </w:r>
      <w:r w:rsidRPr="007F59B7">
        <w:rPr>
          <w:sz w:val="28"/>
          <w:szCs w:val="28"/>
          <w:lang w:val="en-US"/>
        </w:rPr>
        <w:t xml:space="preserve"> </w:t>
      </w:r>
      <w:r>
        <w:rPr>
          <w:sz w:val="28"/>
          <w:szCs w:val="28"/>
          <w:lang w:val="en-US"/>
        </w:rPr>
        <w:t>that</w:t>
      </w:r>
      <w:r w:rsidRPr="007F59B7">
        <w:rPr>
          <w:sz w:val="28"/>
          <w:szCs w:val="28"/>
          <w:lang w:val="en-US"/>
        </w:rPr>
        <w:t xml:space="preserve"> </w:t>
      </w:r>
      <w:r>
        <w:rPr>
          <w:sz w:val="28"/>
          <w:szCs w:val="28"/>
          <w:lang w:val="en-US"/>
        </w:rPr>
        <w:t>operates</w:t>
      </w:r>
      <w:r w:rsidRPr="007F59B7">
        <w:rPr>
          <w:sz w:val="28"/>
          <w:szCs w:val="28"/>
          <w:lang w:val="en-US"/>
        </w:rPr>
        <w:t xml:space="preserve"> </w:t>
      </w:r>
      <w:r>
        <w:rPr>
          <w:sz w:val="28"/>
          <w:szCs w:val="28"/>
          <w:lang w:val="en-US"/>
        </w:rPr>
        <w:t>in</w:t>
      </w:r>
      <w:r w:rsidRPr="007F59B7">
        <w:rPr>
          <w:sz w:val="28"/>
          <w:szCs w:val="28"/>
          <w:lang w:val="en-US"/>
        </w:rPr>
        <w:t xml:space="preserve"> “</w:t>
      </w:r>
      <w:proofErr w:type="spellStart"/>
      <w:r>
        <w:rPr>
          <w:sz w:val="28"/>
          <w:szCs w:val="28"/>
          <w:lang w:val="en-US"/>
        </w:rPr>
        <w:t>Gonets</w:t>
      </w:r>
      <w:proofErr w:type="spellEnd"/>
      <w:r w:rsidRPr="007F59B7">
        <w:rPr>
          <w:sz w:val="28"/>
          <w:szCs w:val="28"/>
          <w:lang w:val="en-US"/>
        </w:rPr>
        <w:t xml:space="preserve">” </w:t>
      </w:r>
      <w:r>
        <w:rPr>
          <w:sz w:val="28"/>
          <w:szCs w:val="28"/>
          <w:lang w:val="en-US"/>
        </w:rPr>
        <w:t>system</w:t>
      </w:r>
      <w:r w:rsidRPr="007F59B7">
        <w:rPr>
          <w:sz w:val="28"/>
          <w:szCs w:val="28"/>
          <w:lang w:val="en-US"/>
        </w:rPr>
        <w:t xml:space="preserve"> </w:t>
      </w:r>
    </w:p>
    <w:p w:rsidR="007F59B7" w:rsidRPr="00C16DCB" w:rsidRDefault="007F59B7" w:rsidP="007F59B7">
      <w:pPr>
        <w:spacing w:line="360" w:lineRule="auto"/>
        <w:ind w:left="4253"/>
        <w:contextualSpacing/>
        <w:rPr>
          <w:sz w:val="28"/>
          <w:szCs w:val="28"/>
          <w:lang w:val="en-US"/>
        </w:rPr>
      </w:pPr>
      <w:r>
        <w:rPr>
          <w:sz w:val="28"/>
          <w:szCs w:val="28"/>
          <w:lang w:val="en-US"/>
        </w:rPr>
        <w:t>Taganrog, IRTSU, 2015</w:t>
      </w:r>
    </w:p>
    <w:p w:rsidR="007F59B7" w:rsidRPr="00C16DCB" w:rsidRDefault="007F59B7" w:rsidP="007F59B7">
      <w:pPr>
        <w:spacing w:line="360" w:lineRule="auto"/>
        <w:ind w:left="4253"/>
        <w:contextualSpacing/>
        <w:rPr>
          <w:sz w:val="28"/>
          <w:szCs w:val="28"/>
          <w:lang w:val="en-US"/>
        </w:rPr>
      </w:pPr>
    </w:p>
    <w:p w:rsidR="007F59B7" w:rsidRPr="00C16DCB" w:rsidRDefault="007F59B7" w:rsidP="007F59B7">
      <w:pPr>
        <w:spacing w:line="360" w:lineRule="auto"/>
        <w:ind w:left="4253"/>
        <w:contextualSpacing/>
        <w:rPr>
          <w:sz w:val="28"/>
          <w:szCs w:val="28"/>
          <w:lang w:val="en-US"/>
        </w:rPr>
      </w:pPr>
    </w:p>
    <w:p w:rsidR="007F59B7" w:rsidRPr="00C16DCB" w:rsidRDefault="007F59B7" w:rsidP="007F59B7">
      <w:pPr>
        <w:spacing w:line="360" w:lineRule="auto"/>
        <w:ind w:left="4253"/>
        <w:contextualSpacing/>
        <w:rPr>
          <w:sz w:val="28"/>
          <w:szCs w:val="28"/>
          <w:lang w:val="en-US"/>
        </w:rPr>
      </w:pPr>
    </w:p>
    <w:p w:rsidR="007F59B7" w:rsidRPr="00C16DCB" w:rsidRDefault="007F59B7" w:rsidP="007F59B7">
      <w:pPr>
        <w:spacing w:line="360" w:lineRule="auto"/>
        <w:ind w:left="4253"/>
        <w:contextualSpacing/>
        <w:rPr>
          <w:sz w:val="28"/>
          <w:szCs w:val="28"/>
          <w:lang w:val="en-US"/>
        </w:rPr>
      </w:pPr>
    </w:p>
    <w:p w:rsidR="007F59B7" w:rsidRDefault="007F59B7" w:rsidP="007F59B7">
      <w:pPr>
        <w:spacing w:after="200" w:line="360" w:lineRule="auto"/>
        <w:contextualSpacing/>
        <w:jc w:val="center"/>
        <w:rPr>
          <w:b/>
          <w:sz w:val="28"/>
          <w:szCs w:val="28"/>
          <w:lang w:val="en-US"/>
        </w:rPr>
      </w:pPr>
      <w:r>
        <w:rPr>
          <w:b/>
          <w:sz w:val="28"/>
          <w:szCs w:val="28"/>
          <w:lang w:val="en-US"/>
        </w:rPr>
        <w:t>ABSTRACT</w:t>
      </w:r>
    </w:p>
    <w:p w:rsidR="007F59B7" w:rsidRPr="00047B44" w:rsidRDefault="007F59B7" w:rsidP="007F59B7">
      <w:pPr>
        <w:spacing w:after="200" w:line="360" w:lineRule="auto"/>
        <w:contextualSpacing/>
        <w:jc w:val="center"/>
        <w:rPr>
          <w:b/>
          <w:sz w:val="28"/>
          <w:szCs w:val="28"/>
          <w:lang w:val="en-US"/>
        </w:rPr>
      </w:pPr>
    </w:p>
    <w:p w:rsidR="007F59B7" w:rsidRPr="006D7A6C" w:rsidRDefault="007F59B7" w:rsidP="007F59B7">
      <w:pPr>
        <w:spacing w:after="200" w:line="360" w:lineRule="auto"/>
        <w:contextualSpacing/>
        <w:rPr>
          <w:sz w:val="28"/>
          <w:szCs w:val="28"/>
          <w:lang w:val="en-US"/>
        </w:rPr>
      </w:pPr>
      <w:r>
        <w:rPr>
          <w:sz w:val="28"/>
          <w:szCs w:val="28"/>
          <w:lang w:val="en-US"/>
        </w:rPr>
        <w:tab/>
      </w:r>
      <w:r w:rsidRPr="006D7A6C">
        <w:rPr>
          <w:sz w:val="28"/>
          <w:szCs w:val="28"/>
          <w:lang w:val="en-US"/>
        </w:rPr>
        <w:t>The given research</w:t>
      </w:r>
      <w:r>
        <w:rPr>
          <w:sz w:val="28"/>
          <w:szCs w:val="28"/>
          <w:lang w:val="en-US"/>
        </w:rPr>
        <w:t xml:space="preserve"> demonstrates analysis and calculations for the active phased antenna array (APAA) that operates in “</w:t>
      </w:r>
      <w:proofErr w:type="spellStart"/>
      <w:r>
        <w:rPr>
          <w:sz w:val="28"/>
          <w:szCs w:val="28"/>
          <w:lang w:val="en-US"/>
        </w:rPr>
        <w:t>Gonets</w:t>
      </w:r>
      <w:proofErr w:type="spellEnd"/>
      <w:r>
        <w:rPr>
          <w:sz w:val="28"/>
          <w:szCs w:val="28"/>
          <w:lang w:val="en-US"/>
        </w:rPr>
        <w:t>” system. APAA module cascades were designed, hardware components were chosen for the further development, implementation and operation of the antenna array. Economic matters, issues of the device safety and environmental criteria were reviewed.</w:t>
      </w:r>
    </w:p>
    <w:p w:rsidR="007F59B7" w:rsidRPr="00C55782" w:rsidRDefault="007F59B7" w:rsidP="007F59B7">
      <w:pPr>
        <w:spacing w:after="200" w:line="360" w:lineRule="auto"/>
        <w:contextualSpacing/>
        <w:rPr>
          <w:sz w:val="28"/>
          <w:szCs w:val="28"/>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346F6A" w:rsidRDefault="007F59B7" w:rsidP="007F59B7">
      <w:pPr>
        <w:rPr>
          <w:lang w:val="en-US"/>
        </w:rPr>
      </w:pPr>
    </w:p>
    <w:p w:rsidR="007F59B7" w:rsidRPr="007F59B7" w:rsidRDefault="007F59B7" w:rsidP="007F59B7">
      <w:pPr>
        <w:spacing w:line="360" w:lineRule="auto"/>
        <w:contextualSpacing/>
        <w:rPr>
          <w:sz w:val="28"/>
          <w:szCs w:val="28"/>
          <w:lang w:val="en-US"/>
        </w:rPr>
      </w:pPr>
    </w:p>
    <w:p w:rsidR="007F59B7" w:rsidRPr="007F59B7" w:rsidRDefault="007F59B7" w:rsidP="007F59B7">
      <w:pPr>
        <w:spacing w:line="360" w:lineRule="auto"/>
        <w:contextualSpacing/>
        <w:rPr>
          <w:sz w:val="28"/>
          <w:szCs w:val="28"/>
          <w:lang w:val="en-US"/>
        </w:rPr>
      </w:pPr>
    </w:p>
    <w:p w:rsidR="007F59B7" w:rsidRPr="007F59B7" w:rsidRDefault="007F59B7" w:rsidP="007F59B7">
      <w:pPr>
        <w:spacing w:line="360" w:lineRule="auto"/>
        <w:contextualSpacing/>
        <w:rPr>
          <w:sz w:val="28"/>
          <w:szCs w:val="28"/>
          <w:lang w:val="en-US"/>
        </w:rPr>
      </w:pPr>
    </w:p>
    <w:p w:rsidR="007F59B7" w:rsidRPr="00C402FD" w:rsidRDefault="007F59B7" w:rsidP="007F59B7">
      <w:pPr>
        <w:spacing w:line="360" w:lineRule="auto"/>
        <w:contextualSpacing/>
        <w:rPr>
          <w:sz w:val="28"/>
          <w:szCs w:val="28"/>
        </w:rPr>
      </w:pPr>
      <w:r w:rsidRPr="00720CD6">
        <w:rPr>
          <w:sz w:val="28"/>
          <w:szCs w:val="28"/>
        </w:rPr>
        <w:lastRenderedPageBreak/>
        <w:t>УДК</w:t>
      </w:r>
      <w:r w:rsidRPr="00C402FD">
        <w:rPr>
          <w:sz w:val="28"/>
          <w:szCs w:val="28"/>
        </w:rPr>
        <w:t xml:space="preserve"> </w:t>
      </w:r>
      <w:r w:rsidRPr="006C2239">
        <w:rPr>
          <w:sz w:val="28"/>
          <w:szCs w:val="28"/>
        </w:rPr>
        <w:t>621.396.967.2</w:t>
      </w:r>
    </w:p>
    <w:p w:rsidR="007F59B7" w:rsidRDefault="007F59B7" w:rsidP="007F59B7">
      <w:pPr>
        <w:spacing w:line="360" w:lineRule="auto"/>
        <w:contextualSpacing/>
        <w:rPr>
          <w:sz w:val="28"/>
          <w:szCs w:val="28"/>
        </w:rPr>
      </w:pPr>
    </w:p>
    <w:p w:rsidR="007F59B7" w:rsidRDefault="007F59B7" w:rsidP="007F59B7">
      <w:pPr>
        <w:spacing w:line="360" w:lineRule="auto"/>
        <w:contextualSpacing/>
        <w:jc w:val="center"/>
        <w:rPr>
          <w:b/>
          <w:sz w:val="28"/>
          <w:szCs w:val="28"/>
        </w:rPr>
      </w:pPr>
      <w:r>
        <w:rPr>
          <w:b/>
          <w:sz w:val="28"/>
          <w:szCs w:val="28"/>
        </w:rPr>
        <w:t>РЕФЕРАТ</w:t>
      </w:r>
    </w:p>
    <w:p w:rsidR="007F59B7" w:rsidRDefault="007F59B7" w:rsidP="007F59B7">
      <w:pPr>
        <w:spacing w:line="360" w:lineRule="auto"/>
        <w:contextualSpacing/>
        <w:jc w:val="center"/>
        <w:rPr>
          <w:sz w:val="28"/>
          <w:szCs w:val="28"/>
        </w:rPr>
      </w:pPr>
    </w:p>
    <w:p w:rsidR="007F59B7" w:rsidRDefault="007F59B7" w:rsidP="007F59B7">
      <w:pPr>
        <w:spacing w:line="360" w:lineRule="auto"/>
        <w:contextualSpacing/>
        <w:rPr>
          <w:sz w:val="28"/>
          <w:szCs w:val="28"/>
        </w:rPr>
      </w:pPr>
      <w:r>
        <w:rPr>
          <w:sz w:val="28"/>
          <w:szCs w:val="28"/>
        </w:rPr>
        <w:tab/>
        <w:t>Пояснительная записка содержит  96 с., 27 ил</w:t>
      </w:r>
      <w:proofErr w:type="gramStart"/>
      <w:r>
        <w:rPr>
          <w:sz w:val="28"/>
          <w:szCs w:val="28"/>
        </w:rPr>
        <w:t xml:space="preserve">., </w:t>
      </w:r>
      <w:proofErr w:type="gramEnd"/>
      <w:r>
        <w:rPr>
          <w:sz w:val="28"/>
          <w:szCs w:val="28"/>
        </w:rPr>
        <w:t>13 табл., 7 библ.</w:t>
      </w:r>
    </w:p>
    <w:p w:rsidR="007F59B7" w:rsidRPr="00441CDF" w:rsidRDefault="007F59B7" w:rsidP="007F59B7">
      <w:pPr>
        <w:spacing w:line="360" w:lineRule="auto"/>
        <w:contextualSpacing/>
        <w:rPr>
          <w:sz w:val="28"/>
          <w:szCs w:val="28"/>
        </w:rPr>
      </w:pPr>
      <w:r>
        <w:rPr>
          <w:sz w:val="28"/>
          <w:szCs w:val="28"/>
        </w:rPr>
        <w:tab/>
        <w:t>В работе рассчитаны параметры модуля АФАР абонентского терминала системы «Гонец».</w:t>
      </w:r>
    </w:p>
    <w:p w:rsidR="007F59B7" w:rsidRDefault="007F59B7" w:rsidP="007F59B7">
      <w:pPr>
        <w:spacing w:line="360" w:lineRule="auto"/>
        <w:contextualSpacing/>
        <w:rPr>
          <w:sz w:val="28"/>
          <w:szCs w:val="28"/>
        </w:rPr>
      </w:pPr>
      <w:r>
        <w:rPr>
          <w:sz w:val="28"/>
          <w:szCs w:val="28"/>
        </w:rPr>
        <w:tab/>
        <w:t>Произведен расчет</w:t>
      </w:r>
      <w:r w:rsidRPr="00441CDF">
        <w:rPr>
          <w:color w:val="000000"/>
          <w:sz w:val="28"/>
        </w:rPr>
        <w:t xml:space="preserve"> </w:t>
      </w:r>
      <w:r>
        <w:rPr>
          <w:color w:val="000000"/>
          <w:sz w:val="28"/>
        </w:rPr>
        <w:t>усилителя мощности, умножителя частоты, согласующих цепей</w:t>
      </w:r>
      <w:r>
        <w:rPr>
          <w:sz w:val="28"/>
          <w:szCs w:val="28"/>
        </w:rPr>
        <w:t>. Выбрана элементная база для конструкции и эксплуатации АФАР. Дан анализ полученных результатов.</w:t>
      </w:r>
    </w:p>
    <w:p w:rsidR="007F59B7" w:rsidRPr="00D109D7" w:rsidRDefault="007F59B7" w:rsidP="007F59B7">
      <w:pPr>
        <w:spacing w:line="360" w:lineRule="auto"/>
        <w:contextualSpacing/>
        <w:rPr>
          <w:sz w:val="28"/>
          <w:szCs w:val="28"/>
        </w:rPr>
      </w:pPr>
      <w:r>
        <w:rPr>
          <w:sz w:val="28"/>
          <w:szCs w:val="28"/>
        </w:rPr>
        <w:tab/>
      </w:r>
      <w:r w:rsidRPr="00D109D7">
        <w:rPr>
          <w:sz w:val="28"/>
          <w:szCs w:val="28"/>
        </w:rPr>
        <w:t>В  процессе  выпо</w:t>
      </w:r>
      <w:r>
        <w:rPr>
          <w:sz w:val="28"/>
          <w:szCs w:val="28"/>
        </w:rPr>
        <w:t xml:space="preserve">лнения  технико-экономического </w:t>
      </w:r>
      <w:r w:rsidRPr="00D109D7">
        <w:rPr>
          <w:sz w:val="28"/>
          <w:szCs w:val="28"/>
        </w:rPr>
        <w:t xml:space="preserve">обоснования </w:t>
      </w:r>
    </w:p>
    <w:p w:rsidR="007F59B7" w:rsidRPr="00D109D7" w:rsidRDefault="007F59B7" w:rsidP="007F59B7">
      <w:pPr>
        <w:spacing w:line="360" w:lineRule="auto"/>
        <w:contextualSpacing/>
        <w:rPr>
          <w:sz w:val="28"/>
          <w:szCs w:val="28"/>
        </w:rPr>
      </w:pPr>
      <w:r w:rsidRPr="00D109D7">
        <w:rPr>
          <w:sz w:val="28"/>
          <w:szCs w:val="28"/>
        </w:rPr>
        <w:t>произведен расчёт основной заработной платы, а также расчёт затрат на научно-исследова</w:t>
      </w:r>
      <w:r>
        <w:rPr>
          <w:sz w:val="28"/>
          <w:szCs w:val="28"/>
        </w:rPr>
        <w:t>тельские работы. Р</w:t>
      </w:r>
      <w:r w:rsidRPr="00D109D7">
        <w:rPr>
          <w:sz w:val="28"/>
          <w:szCs w:val="28"/>
        </w:rPr>
        <w:t xml:space="preserve">ассмотрены аспекты безопасности и </w:t>
      </w:r>
      <w:proofErr w:type="spellStart"/>
      <w:r w:rsidRPr="00D109D7">
        <w:rPr>
          <w:sz w:val="28"/>
          <w:szCs w:val="28"/>
        </w:rPr>
        <w:t>экологичности</w:t>
      </w:r>
      <w:proofErr w:type="spellEnd"/>
      <w:r w:rsidRPr="00D109D7">
        <w:rPr>
          <w:sz w:val="28"/>
          <w:szCs w:val="28"/>
        </w:rPr>
        <w:t xml:space="preserve"> при выполнении работы.</w:t>
      </w: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Default="007F59B7" w:rsidP="007F59B7">
      <w:pPr>
        <w:shd w:val="clear" w:color="auto" w:fill="FFFFFF"/>
        <w:spacing w:line="360" w:lineRule="auto"/>
        <w:ind w:firstLine="709"/>
        <w:jc w:val="both"/>
        <w:outlineLvl w:val="0"/>
        <w:rPr>
          <w:color w:val="000000"/>
          <w:spacing w:val="-2"/>
          <w:sz w:val="28"/>
        </w:rPr>
      </w:pPr>
    </w:p>
    <w:p w:rsidR="007F59B7" w:rsidRPr="00383A3E" w:rsidRDefault="007F59B7" w:rsidP="007F59B7">
      <w:pPr>
        <w:shd w:val="clear" w:color="auto" w:fill="FFFFFF"/>
        <w:spacing w:line="360" w:lineRule="auto"/>
        <w:ind w:firstLine="709"/>
        <w:jc w:val="both"/>
        <w:outlineLvl w:val="0"/>
        <w:rPr>
          <w:color w:val="000000"/>
          <w:spacing w:val="-3"/>
          <w:sz w:val="28"/>
        </w:rPr>
      </w:pPr>
      <w:r w:rsidRPr="00383A3E">
        <w:rPr>
          <w:color w:val="000000"/>
          <w:spacing w:val="-2"/>
          <w:sz w:val="28"/>
        </w:rPr>
        <w:lastRenderedPageBreak/>
        <w:t>1 АНАЛИЗ ТЕХНИЧЕСКОГО ЗАДАНИЯ</w:t>
      </w:r>
    </w:p>
    <w:p w:rsidR="007F59B7" w:rsidRDefault="007F59B7" w:rsidP="007F59B7">
      <w:pPr>
        <w:ind w:firstLine="709"/>
        <w:jc w:val="both"/>
        <w:rPr>
          <w:sz w:val="28"/>
        </w:rPr>
      </w:pPr>
    </w:p>
    <w:p w:rsidR="007F59B7" w:rsidRPr="00204B1E" w:rsidRDefault="007F59B7" w:rsidP="007F59B7">
      <w:pPr>
        <w:ind w:firstLine="709"/>
        <w:jc w:val="both"/>
        <w:rPr>
          <w:spacing w:val="20"/>
          <w:sz w:val="28"/>
        </w:rPr>
      </w:pPr>
      <w:r w:rsidRPr="00204B1E">
        <w:rPr>
          <w:spacing w:val="20"/>
          <w:sz w:val="28"/>
        </w:rPr>
        <w:t xml:space="preserve">1.1 </w:t>
      </w:r>
      <w:r w:rsidRPr="00204B1E">
        <w:rPr>
          <w:spacing w:val="20"/>
          <w:kern w:val="28"/>
          <w:sz w:val="28"/>
        </w:rPr>
        <w:t>Анализ способа передачи информации</w:t>
      </w:r>
    </w:p>
    <w:p w:rsidR="007F59B7" w:rsidRPr="00737207" w:rsidRDefault="007F59B7" w:rsidP="007F59B7">
      <w:pPr>
        <w:jc w:val="center"/>
        <w:rPr>
          <w:sz w:val="28"/>
        </w:rPr>
      </w:pPr>
    </w:p>
    <w:p w:rsidR="007F59B7" w:rsidRDefault="007F59B7" w:rsidP="007F59B7">
      <w:pPr>
        <w:spacing w:before="100" w:beforeAutospacing="1" w:after="100" w:afterAutospacing="1" w:line="360" w:lineRule="auto"/>
        <w:ind w:firstLine="709"/>
        <w:jc w:val="both"/>
        <w:rPr>
          <w:rFonts w:eastAsia="Times New Roman" w:cs="Times New Roman"/>
          <w:sz w:val="28"/>
          <w:szCs w:val="28"/>
          <w:lang w:eastAsia="ru-RU"/>
        </w:rPr>
      </w:pPr>
      <w:r w:rsidRPr="00680DE6">
        <w:rPr>
          <w:rFonts w:cs="Times New Roman"/>
          <w:sz w:val="28"/>
          <w:szCs w:val="28"/>
        </w:rPr>
        <w:t>Назначением системы</w:t>
      </w:r>
      <w:r>
        <w:rPr>
          <w:rFonts w:cs="Times New Roman"/>
          <w:sz w:val="28"/>
          <w:szCs w:val="28"/>
        </w:rPr>
        <w:t>, описанной в данной работе,</w:t>
      </w:r>
      <w:r w:rsidRPr="00680DE6">
        <w:rPr>
          <w:rFonts w:cs="Times New Roman"/>
          <w:sz w:val="28"/>
          <w:szCs w:val="28"/>
        </w:rPr>
        <w:t xml:space="preserve"> является оказание услуг связи в глобальном масштабе.</w:t>
      </w:r>
      <w:r>
        <w:rPr>
          <w:rFonts w:cs="Times New Roman"/>
          <w:sz w:val="28"/>
          <w:szCs w:val="28"/>
        </w:rPr>
        <w:t xml:space="preserve"> Чтобы проанализировать данный вид связи, надо начать со с</w:t>
      </w:r>
      <w:r w:rsidRPr="009303BE">
        <w:rPr>
          <w:rFonts w:eastAsia="Times New Roman" w:cs="Times New Roman"/>
          <w:sz w:val="28"/>
          <w:szCs w:val="28"/>
          <w:lang w:eastAsia="ru-RU"/>
        </w:rPr>
        <w:t>трукту</w:t>
      </w:r>
      <w:r>
        <w:rPr>
          <w:rFonts w:eastAsia="Times New Roman" w:cs="Times New Roman"/>
          <w:sz w:val="28"/>
          <w:szCs w:val="28"/>
          <w:lang w:eastAsia="ru-RU"/>
        </w:rPr>
        <w:t>ры</w:t>
      </w:r>
      <w:r w:rsidRPr="009303BE">
        <w:rPr>
          <w:rFonts w:eastAsia="Times New Roman" w:cs="Times New Roman"/>
          <w:sz w:val="28"/>
          <w:szCs w:val="28"/>
          <w:lang w:eastAsia="ru-RU"/>
        </w:rPr>
        <w:t xml:space="preserve"> системы «Гонец»</w:t>
      </w:r>
      <w:r>
        <w:rPr>
          <w:rFonts w:eastAsia="Times New Roman" w:cs="Times New Roman"/>
          <w:sz w:val="28"/>
          <w:szCs w:val="28"/>
          <w:lang w:eastAsia="ru-RU"/>
        </w:rPr>
        <w:t>.</w:t>
      </w:r>
    </w:p>
    <w:p w:rsidR="007F59B7" w:rsidRPr="009303BE" w:rsidRDefault="007F59B7" w:rsidP="007F59B7">
      <w:pPr>
        <w:spacing w:before="100" w:beforeAutospacing="1" w:after="100" w:afterAutospacing="1" w:line="360" w:lineRule="auto"/>
        <w:ind w:firstLine="709"/>
        <w:jc w:val="both"/>
        <w:rPr>
          <w:rFonts w:eastAsia="Times New Roman" w:cs="Times New Roman"/>
          <w:sz w:val="28"/>
          <w:szCs w:val="28"/>
          <w:lang w:eastAsia="ru-RU"/>
        </w:rPr>
      </w:pPr>
      <w:r w:rsidRPr="009303BE">
        <w:rPr>
          <w:rFonts w:eastAsia="Times New Roman" w:cs="Times New Roman"/>
          <w:sz w:val="28"/>
          <w:szCs w:val="28"/>
          <w:lang w:eastAsia="ru-RU"/>
        </w:rPr>
        <w:t xml:space="preserve">Структура системы «Гонец» приведена на рисунке </w:t>
      </w:r>
      <w:r>
        <w:rPr>
          <w:rFonts w:eastAsia="Times New Roman" w:cs="Times New Roman"/>
          <w:sz w:val="28"/>
          <w:szCs w:val="28"/>
          <w:lang w:eastAsia="ru-RU"/>
        </w:rPr>
        <w:t>1.1</w:t>
      </w:r>
      <w:r w:rsidRPr="009303BE">
        <w:rPr>
          <w:rFonts w:eastAsia="Times New Roman" w:cs="Times New Roman"/>
          <w:sz w:val="28"/>
          <w:szCs w:val="28"/>
          <w:lang w:eastAsia="ru-RU"/>
        </w:rPr>
        <w:t>.</w:t>
      </w:r>
    </w:p>
    <w:p w:rsidR="007F59B7" w:rsidRPr="009303BE" w:rsidRDefault="007F59B7" w:rsidP="007F59B7">
      <w:pPr>
        <w:spacing w:before="100" w:beforeAutospacing="1" w:after="100" w:afterAutospacing="1"/>
        <w:jc w:val="both"/>
        <w:rPr>
          <w:rFonts w:eastAsia="Times New Roman" w:cs="Times New Roman"/>
          <w:sz w:val="28"/>
          <w:szCs w:val="28"/>
          <w:lang w:eastAsia="ru-RU"/>
        </w:rPr>
      </w:pPr>
      <w:r>
        <w:rPr>
          <w:rFonts w:eastAsia="Times New Roman" w:cs="Times New Roman"/>
          <w:noProof/>
          <w:sz w:val="28"/>
          <w:szCs w:val="28"/>
          <w:lang w:eastAsia="ru-RU" w:bidi="ar-SA"/>
        </w:rPr>
        <w:drawing>
          <wp:anchor distT="0" distB="0" distL="114300" distR="114300" simplePos="0" relativeHeight="251659264" behindDoc="1" locked="0" layoutInCell="1" allowOverlap="1">
            <wp:simplePos x="0" y="0"/>
            <wp:positionH relativeFrom="column">
              <wp:posOffset>605790</wp:posOffset>
            </wp:positionH>
            <wp:positionV relativeFrom="paragraph">
              <wp:posOffset>180975</wp:posOffset>
            </wp:positionV>
            <wp:extent cx="4076700" cy="2038350"/>
            <wp:effectExtent l="0" t="0" r="0" b="0"/>
            <wp:wrapTight wrapText="bothSides">
              <wp:wrapPolygon edited="0">
                <wp:start x="0" y="0"/>
                <wp:lineTo x="0" y="21398"/>
                <wp:lineTo x="21499" y="21398"/>
                <wp:lineTo x="21499" y="0"/>
                <wp:lineTo x="0" y="0"/>
              </wp:wrapPolygon>
            </wp:wrapTight>
            <wp:docPr id="1" name="Рисунок 1" descr="http://www.diplombga.ru/files/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diplombga.ru/files/g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767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59B7" w:rsidRPr="009303BE" w:rsidRDefault="007F59B7" w:rsidP="007F59B7">
      <w:pPr>
        <w:spacing w:before="100" w:beforeAutospacing="1" w:after="100" w:afterAutospacing="1"/>
        <w:jc w:val="both"/>
        <w:rPr>
          <w:rFonts w:eastAsia="Times New Roman" w:cs="Times New Roman"/>
          <w:sz w:val="28"/>
          <w:szCs w:val="28"/>
          <w:lang w:eastAsia="ru-RU"/>
        </w:rPr>
      </w:pPr>
    </w:p>
    <w:p w:rsidR="007F59B7" w:rsidRPr="009303BE" w:rsidRDefault="007F59B7" w:rsidP="007F59B7">
      <w:pPr>
        <w:spacing w:before="100" w:beforeAutospacing="1" w:after="100" w:afterAutospacing="1"/>
        <w:jc w:val="both"/>
        <w:rPr>
          <w:rFonts w:eastAsia="Times New Roman" w:cs="Times New Roman"/>
          <w:sz w:val="28"/>
          <w:szCs w:val="28"/>
          <w:lang w:eastAsia="ru-RU"/>
        </w:rPr>
      </w:pPr>
    </w:p>
    <w:p w:rsidR="007F59B7" w:rsidRPr="009303BE" w:rsidRDefault="007F59B7" w:rsidP="007F59B7">
      <w:pPr>
        <w:spacing w:before="100" w:beforeAutospacing="1" w:after="100" w:afterAutospacing="1"/>
        <w:jc w:val="both"/>
        <w:rPr>
          <w:rFonts w:eastAsia="Times New Roman" w:cs="Times New Roman"/>
          <w:sz w:val="28"/>
          <w:szCs w:val="28"/>
          <w:lang w:eastAsia="ru-RU"/>
        </w:rPr>
      </w:pPr>
    </w:p>
    <w:p w:rsidR="007F59B7" w:rsidRPr="009303BE" w:rsidRDefault="007F59B7" w:rsidP="007F59B7">
      <w:pPr>
        <w:spacing w:before="100" w:beforeAutospacing="1" w:after="100" w:afterAutospacing="1"/>
        <w:jc w:val="both"/>
        <w:rPr>
          <w:rFonts w:eastAsia="Times New Roman" w:cs="Times New Roman"/>
          <w:sz w:val="28"/>
          <w:szCs w:val="28"/>
          <w:lang w:eastAsia="ru-RU"/>
        </w:rPr>
      </w:pPr>
    </w:p>
    <w:p w:rsidR="007F59B7" w:rsidRPr="009303BE" w:rsidRDefault="007F59B7" w:rsidP="007F59B7">
      <w:pPr>
        <w:spacing w:before="100" w:beforeAutospacing="1" w:after="100" w:afterAutospacing="1"/>
        <w:jc w:val="both"/>
        <w:rPr>
          <w:rFonts w:eastAsia="Times New Roman" w:cs="Times New Roman"/>
          <w:sz w:val="28"/>
          <w:szCs w:val="28"/>
          <w:lang w:eastAsia="ru-RU"/>
        </w:rPr>
      </w:pPr>
    </w:p>
    <w:p w:rsidR="007F59B7" w:rsidRPr="009303BE" w:rsidRDefault="007F59B7" w:rsidP="007F59B7">
      <w:pPr>
        <w:spacing w:before="100" w:beforeAutospacing="1" w:after="100" w:afterAutospacing="1"/>
        <w:jc w:val="center"/>
        <w:rPr>
          <w:rFonts w:eastAsia="Times New Roman" w:cs="Times New Roman"/>
          <w:sz w:val="28"/>
          <w:szCs w:val="28"/>
          <w:lang w:eastAsia="ru-RU"/>
        </w:rPr>
      </w:pPr>
      <w:r w:rsidRPr="009303BE">
        <w:rPr>
          <w:rFonts w:eastAsia="Times New Roman" w:cs="Times New Roman"/>
          <w:sz w:val="28"/>
          <w:szCs w:val="28"/>
          <w:lang w:eastAsia="ru-RU"/>
        </w:rPr>
        <w:t xml:space="preserve">Рисунок </w:t>
      </w:r>
      <w:r>
        <w:rPr>
          <w:rFonts w:eastAsia="Times New Roman" w:cs="Times New Roman"/>
          <w:sz w:val="28"/>
          <w:szCs w:val="28"/>
          <w:lang w:eastAsia="ru-RU"/>
        </w:rPr>
        <w:t xml:space="preserve">1.1– </w:t>
      </w:r>
      <w:r w:rsidRPr="009303BE">
        <w:rPr>
          <w:rFonts w:eastAsia="Times New Roman" w:cs="Times New Roman"/>
          <w:sz w:val="28"/>
          <w:szCs w:val="28"/>
          <w:lang w:eastAsia="ru-RU"/>
        </w:rPr>
        <w:t>Структура системы «Гонец»</w:t>
      </w:r>
    </w:p>
    <w:p w:rsidR="007F59B7" w:rsidRDefault="007F59B7" w:rsidP="007F59B7">
      <w:pPr>
        <w:spacing w:before="100" w:beforeAutospacing="1" w:after="100" w:afterAutospacing="1"/>
        <w:jc w:val="both"/>
        <w:rPr>
          <w:rFonts w:eastAsia="Times New Roman" w:cs="Times New Roman"/>
          <w:sz w:val="28"/>
          <w:szCs w:val="28"/>
          <w:lang w:eastAsia="ru-RU"/>
        </w:rPr>
      </w:pPr>
    </w:p>
    <w:p w:rsidR="007F59B7" w:rsidRPr="009303BE" w:rsidRDefault="007F59B7" w:rsidP="007F59B7">
      <w:pPr>
        <w:spacing w:before="100" w:beforeAutospacing="1" w:after="100" w:afterAutospacing="1" w:line="360" w:lineRule="auto"/>
        <w:ind w:firstLine="709"/>
        <w:jc w:val="both"/>
        <w:rPr>
          <w:rFonts w:eastAsia="Times New Roman" w:cs="Times New Roman"/>
          <w:sz w:val="28"/>
          <w:szCs w:val="28"/>
          <w:lang w:eastAsia="ru-RU"/>
        </w:rPr>
      </w:pPr>
      <w:r w:rsidRPr="009303BE">
        <w:rPr>
          <w:rFonts w:eastAsia="Times New Roman" w:cs="Times New Roman"/>
          <w:sz w:val="28"/>
          <w:szCs w:val="28"/>
          <w:lang w:eastAsia="ru-RU"/>
        </w:rPr>
        <w:t>Система связи «Гонец» строится на основе использования в космическом сегменте системы низкоорбитальных спутников-ретрансляторов, обеспечивающих полное, гло</w:t>
      </w:r>
      <w:r w:rsidRPr="009303BE">
        <w:rPr>
          <w:rFonts w:eastAsia="Times New Roman" w:cs="Times New Roman"/>
          <w:sz w:val="28"/>
          <w:szCs w:val="28"/>
          <w:lang w:eastAsia="ru-RU"/>
        </w:rPr>
        <w:softHyphen/>
        <w:t>бальное покры</w:t>
      </w:r>
      <w:r>
        <w:rPr>
          <w:rFonts w:eastAsia="Times New Roman" w:cs="Times New Roman"/>
          <w:sz w:val="28"/>
          <w:szCs w:val="28"/>
          <w:lang w:eastAsia="ru-RU"/>
        </w:rPr>
        <w:t>тие Земной поверхности (рисунок 1.1</w:t>
      </w:r>
      <w:r w:rsidRPr="009303BE">
        <w:rPr>
          <w:rFonts w:eastAsia="Times New Roman" w:cs="Times New Roman"/>
          <w:sz w:val="28"/>
          <w:szCs w:val="28"/>
          <w:lang w:eastAsia="ru-RU"/>
        </w:rPr>
        <w:t xml:space="preserve">), включая приполярные области. Это достигается использованием 6 «колец», в каждом из которых находится по 6 ИСЗ </w:t>
      </w:r>
      <w:proofErr w:type="gramStart"/>
      <w:r w:rsidRPr="009303BE">
        <w:rPr>
          <w:rFonts w:eastAsia="Times New Roman" w:cs="Times New Roman"/>
          <w:sz w:val="28"/>
          <w:szCs w:val="28"/>
          <w:lang w:eastAsia="ru-RU"/>
        </w:rPr>
        <w:t>СР</w:t>
      </w:r>
      <w:proofErr w:type="gramEnd"/>
      <w:r w:rsidRPr="009303BE">
        <w:rPr>
          <w:rFonts w:eastAsia="Times New Roman" w:cs="Times New Roman"/>
          <w:sz w:val="28"/>
          <w:szCs w:val="28"/>
          <w:lang w:eastAsia="ru-RU"/>
        </w:rPr>
        <w:t>, а всего в космическом сегменте используется не менее 36 ИСЗ. Наклонение плоскости «кольца» орбиты — 83 град. Плоскости «колец» разнесены друг относительно друга на 30 градусов по долготе восходящего узла. Высота орбиты — 1500 км. Групповой вывод по 6 ИСЗ осуществляется ракетой-носителем «Циклон» за один пуск. Масса од</w:t>
      </w:r>
      <w:r w:rsidRPr="009303BE">
        <w:rPr>
          <w:rFonts w:eastAsia="Times New Roman" w:cs="Times New Roman"/>
          <w:sz w:val="28"/>
          <w:szCs w:val="28"/>
          <w:lang w:eastAsia="ru-RU"/>
        </w:rPr>
        <w:softHyphen/>
        <w:t xml:space="preserve">ного ИСЗ составляет 225 кг. Срок активного существования ИСЗ составляет 3-5 лет. Каждый ИСЗ имеет два СР </w:t>
      </w:r>
      <w:r w:rsidRPr="009303BE">
        <w:rPr>
          <w:rFonts w:eastAsia="Times New Roman" w:cs="Times New Roman"/>
          <w:sz w:val="28"/>
          <w:szCs w:val="28"/>
          <w:lang w:eastAsia="ru-RU"/>
        </w:rPr>
        <w:lastRenderedPageBreak/>
        <w:t xml:space="preserve">с обработкой и запоминанием сигналов в диапазонах 300/400 МГц и 1,5/1,6 ГГц. Параметры </w:t>
      </w:r>
      <w:r>
        <w:rPr>
          <w:rFonts w:eastAsia="Times New Roman" w:cs="Times New Roman"/>
          <w:sz w:val="28"/>
          <w:szCs w:val="28"/>
          <w:lang w:eastAsia="ru-RU"/>
        </w:rPr>
        <w:t>спутника-ретранслятора (</w:t>
      </w:r>
      <w:r w:rsidRPr="009303BE">
        <w:rPr>
          <w:rFonts w:eastAsia="Times New Roman" w:cs="Times New Roman"/>
          <w:sz w:val="28"/>
          <w:szCs w:val="28"/>
          <w:lang w:eastAsia="ru-RU"/>
        </w:rPr>
        <w:t>СР</w:t>
      </w:r>
      <w:r>
        <w:rPr>
          <w:rFonts w:eastAsia="Times New Roman" w:cs="Times New Roman"/>
          <w:sz w:val="28"/>
          <w:szCs w:val="28"/>
          <w:lang w:eastAsia="ru-RU"/>
        </w:rPr>
        <w:t>)</w:t>
      </w:r>
      <w:r w:rsidRPr="009303BE">
        <w:rPr>
          <w:rFonts w:eastAsia="Times New Roman" w:cs="Times New Roman"/>
          <w:sz w:val="28"/>
          <w:szCs w:val="28"/>
          <w:lang w:eastAsia="ru-RU"/>
        </w:rPr>
        <w:t>: мощность передатчика СР 2.10 Вт; шу</w:t>
      </w:r>
      <w:r w:rsidRPr="009303BE">
        <w:rPr>
          <w:rFonts w:eastAsia="Times New Roman" w:cs="Times New Roman"/>
          <w:sz w:val="28"/>
          <w:szCs w:val="28"/>
          <w:lang w:eastAsia="ru-RU"/>
        </w:rPr>
        <w:softHyphen/>
        <w:t>мовая температура приемника СР — 200</w:t>
      </w:r>
      <w:proofErr w:type="gramStart"/>
      <w:r w:rsidRPr="009303BE">
        <w:rPr>
          <w:rFonts w:eastAsia="Times New Roman" w:cs="Times New Roman"/>
          <w:sz w:val="28"/>
          <w:szCs w:val="28"/>
          <w:lang w:eastAsia="ru-RU"/>
        </w:rPr>
        <w:t xml:space="preserve"> К</w:t>
      </w:r>
      <w:proofErr w:type="gramEnd"/>
      <w:r w:rsidRPr="009303BE">
        <w:rPr>
          <w:rFonts w:eastAsia="Times New Roman" w:cs="Times New Roman"/>
          <w:sz w:val="28"/>
          <w:szCs w:val="28"/>
          <w:lang w:eastAsia="ru-RU"/>
        </w:rPr>
        <w:t>, коэффициент усиления антенны СР 0.3 дБ, емкость бортового запоминающего устройства 8 Мбайт.</w:t>
      </w:r>
    </w:p>
    <w:p w:rsidR="007F59B7" w:rsidRPr="009303BE" w:rsidRDefault="007F59B7" w:rsidP="007F59B7">
      <w:pPr>
        <w:spacing w:before="100" w:beforeAutospacing="1" w:after="100" w:afterAutospacing="1" w:line="360" w:lineRule="auto"/>
        <w:ind w:firstLine="709"/>
        <w:jc w:val="both"/>
        <w:rPr>
          <w:rFonts w:eastAsia="Times New Roman" w:cs="Times New Roman"/>
          <w:sz w:val="28"/>
          <w:szCs w:val="28"/>
          <w:lang w:eastAsia="ru-RU"/>
        </w:rPr>
      </w:pPr>
      <w:r w:rsidRPr="009303BE">
        <w:rPr>
          <w:rFonts w:eastAsia="Times New Roman" w:cs="Times New Roman"/>
          <w:sz w:val="28"/>
          <w:szCs w:val="28"/>
          <w:lang w:eastAsia="ru-RU"/>
        </w:rPr>
        <w:t>Выбор орбитальной структуры сделан исходя из равномерной интенсивности тра</w:t>
      </w:r>
      <w:r w:rsidRPr="009303BE">
        <w:rPr>
          <w:rFonts w:eastAsia="Times New Roman" w:cs="Times New Roman"/>
          <w:sz w:val="28"/>
          <w:szCs w:val="28"/>
          <w:lang w:eastAsia="ru-RU"/>
        </w:rPr>
        <w:softHyphen/>
        <w:t>фика по поверхности Земли (равномерное обслуживание по всей Земле), минимиза</w:t>
      </w:r>
      <w:r w:rsidRPr="009303BE">
        <w:rPr>
          <w:rFonts w:eastAsia="Times New Roman" w:cs="Times New Roman"/>
          <w:sz w:val="28"/>
          <w:szCs w:val="28"/>
          <w:lang w:eastAsia="ru-RU"/>
        </w:rPr>
        <w:softHyphen/>
        <w:t>ции числа спутников, а наклон орбит — исходя из наличия трасс выведения. Для формирования «колец» ИСЗ целесообразным оказывается метод одновременного вы</w:t>
      </w:r>
      <w:r w:rsidRPr="009303BE">
        <w:rPr>
          <w:rFonts w:eastAsia="Times New Roman" w:cs="Times New Roman"/>
          <w:sz w:val="28"/>
          <w:szCs w:val="28"/>
          <w:lang w:eastAsia="ru-RU"/>
        </w:rPr>
        <w:softHyphen/>
        <w:t>ведения нескольких ИСЗ одной ракетой-носителем, так как требует меньших затрат на создание орбитальной группировки и снижает загрузку стартового комплекса. Зона обслуживания, обеспечиваемая одним ИСЗ, представляет собой «пятно» на земной поверхности диаметром 4300 км.</w:t>
      </w:r>
    </w:p>
    <w:p w:rsidR="007F59B7" w:rsidRPr="009303BE" w:rsidRDefault="007F59B7" w:rsidP="007F59B7">
      <w:pPr>
        <w:spacing w:before="100" w:beforeAutospacing="1" w:after="100" w:afterAutospacing="1" w:line="360" w:lineRule="auto"/>
        <w:ind w:firstLine="709"/>
        <w:jc w:val="both"/>
        <w:rPr>
          <w:rFonts w:eastAsia="Times New Roman" w:cs="Times New Roman"/>
          <w:sz w:val="28"/>
          <w:szCs w:val="28"/>
          <w:lang w:eastAsia="ru-RU"/>
        </w:rPr>
      </w:pPr>
      <w:proofErr w:type="gramStart"/>
      <w:r w:rsidRPr="009303BE">
        <w:rPr>
          <w:rFonts w:eastAsia="Times New Roman" w:cs="Times New Roman"/>
          <w:sz w:val="28"/>
          <w:szCs w:val="28"/>
          <w:lang w:eastAsia="ru-RU"/>
        </w:rPr>
        <w:t>СР</w:t>
      </w:r>
      <w:proofErr w:type="gramEnd"/>
      <w:r w:rsidRPr="009303BE">
        <w:rPr>
          <w:rFonts w:eastAsia="Times New Roman" w:cs="Times New Roman"/>
          <w:sz w:val="28"/>
          <w:szCs w:val="28"/>
          <w:lang w:eastAsia="ru-RU"/>
        </w:rPr>
        <w:t xml:space="preserve"> каждого ИСЗ решают целевую задачу по ретрансляции информации между або</w:t>
      </w:r>
      <w:r w:rsidRPr="009303BE">
        <w:rPr>
          <w:rFonts w:eastAsia="Times New Roman" w:cs="Times New Roman"/>
          <w:sz w:val="28"/>
          <w:szCs w:val="28"/>
          <w:lang w:eastAsia="ru-RU"/>
        </w:rPr>
        <w:softHyphen/>
        <w:t xml:space="preserve">нентами системы в регионах, задаваемых наземными средствами. Кроме того, </w:t>
      </w:r>
      <w:proofErr w:type="gramStart"/>
      <w:r w:rsidRPr="009303BE">
        <w:rPr>
          <w:rFonts w:eastAsia="Times New Roman" w:cs="Times New Roman"/>
          <w:sz w:val="28"/>
          <w:szCs w:val="28"/>
          <w:lang w:eastAsia="ru-RU"/>
        </w:rPr>
        <w:t>СР</w:t>
      </w:r>
      <w:proofErr w:type="gramEnd"/>
      <w:r w:rsidRPr="009303BE">
        <w:rPr>
          <w:rFonts w:eastAsia="Times New Roman" w:cs="Times New Roman"/>
          <w:sz w:val="28"/>
          <w:szCs w:val="28"/>
          <w:lang w:eastAsia="ru-RU"/>
        </w:rPr>
        <w:t xml:space="preserve"> ре</w:t>
      </w:r>
      <w:r w:rsidRPr="009303BE">
        <w:rPr>
          <w:rFonts w:eastAsia="Times New Roman" w:cs="Times New Roman"/>
          <w:sz w:val="28"/>
          <w:szCs w:val="28"/>
          <w:lang w:eastAsia="ru-RU"/>
        </w:rPr>
        <w:softHyphen/>
        <w:t>шает задачи по ретрансляции информации, необходимой для работы системы связи, а также передает телеметрическую информацию, информацию для траекторных изме</w:t>
      </w:r>
      <w:r w:rsidRPr="009303BE">
        <w:rPr>
          <w:rFonts w:eastAsia="Times New Roman" w:cs="Times New Roman"/>
          <w:sz w:val="28"/>
          <w:szCs w:val="28"/>
          <w:lang w:eastAsia="ru-RU"/>
        </w:rPr>
        <w:softHyphen/>
        <w:t>рений и принимает командно-программную информацию для управления работой связных и служебных систем ИСЗ.</w:t>
      </w:r>
    </w:p>
    <w:p w:rsidR="007F59B7" w:rsidRPr="009303BE" w:rsidRDefault="007F59B7" w:rsidP="007F59B7">
      <w:pPr>
        <w:spacing w:before="100" w:beforeAutospacing="1" w:after="100" w:afterAutospacing="1" w:line="360" w:lineRule="auto"/>
        <w:ind w:firstLine="709"/>
        <w:jc w:val="both"/>
        <w:rPr>
          <w:rFonts w:eastAsia="Times New Roman" w:cs="Times New Roman"/>
          <w:sz w:val="28"/>
          <w:szCs w:val="28"/>
          <w:lang w:eastAsia="ru-RU"/>
        </w:rPr>
      </w:pPr>
      <w:r w:rsidRPr="009303BE">
        <w:rPr>
          <w:rFonts w:eastAsia="Times New Roman" w:cs="Times New Roman"/>
          <w:sz w:val="28"/>
          <w:szCs w:val="28"/>
          <w:lang w:eastAsia="ru-RU"/>
        </w:rPr>
        <w:t>В системе связи используется несколько модификаций ЗС в зависимости от требо</w:t>
      </w:r>
      <w:r w:rsidRPr="009303BE">
        <w:rPr>
          <w:rFonts w:eastAsia="Times New Roman" w:cs="Times New Roman"/>
          <w:sz w:val="28"/>
          <w:szCs w:val="28"/>
          <w:lang w:eastAsia="ru-RU"/>
        </w:rPr>
        <w:softHyphen/>
        <w:t>ваний потребителей. В районах, которые не имеют наземных сре</w:t>
      </w:r>
      <w:proofErr w:type="gramStart"/>
      <w:r w:rsidRPr="009303BE">
        <w:rPr>
          <w:rFonts w:eastAsia="Times New Roman" w:cs="Times New Roman"/>
          <w:sz w:val="28"/>
          <w:szCs w:val="28"/>
          <w:lang w:eastAsia="ru-RU"/>
        </w:rPr>
        <w:t>дств св</w:t>
      </w:r>
      <w:proofErr w:type="gramEnd"/>
      <w:r w:rsidRPr="009303BE">
        <w:rPr>
          <w:rFonts w:eastAsia="Times New Roman" w:cs="Times New Roman"/>
          <w:sz w:val="28"/>
          <w:szCs w:val="28"/>
          <w:lang w:eastAsia="ru-RU"/>
        </w:rPr>
        <w:t>язи, необхо</w:t>
      </w:r>
      <w:r w:rsidRPr="009303BE">
        <w:rPr>
          <w:rFonts w:eastAsia="Times New Roman" w:cs="Times New Roman"/>
          <w:sz w:val="28"/>
          <w:szCs w:val="28"/>
          <w:lang w:eastAsia="ru-RU"/>
        </w:rPr>
        <w:softHyphen/>
        <w:t>димо обеспечить прямой доступ абонентов к каналам. Для решения этой задачи пред</w:t>
      </w:r>
      <w:r w:rsidRPr="009303BE">
        <w:rPr>
          <w:rFonts w:eastAsia="Times New Roman" w:cs="Times New Roman"/>
          <w:sz w:val="28"/>
          <w:szCs w:val="28"/>
          <w:lang w:eastAsia="ru-RU"/>
        </w:rPr>
        <w:softHyphen/>
        <w:t>назначены:</w:t>
      </w:r>
    </w:p>
    <w:p w:rsidR="007F59B7" w:rsidRPr="009303BE" w:rsidRDefault="007F59B7" w:rsidP="007F59B7">
      <w:pPr>
        <w:spacing w:before="100" w:beforeAutospacing="1" w:after="100" w:afterAutospacing="1" w:line="360" w:lineRule="auto"/>
        <w:jc w:val="both"/>
        <w:rPr>
          <w:rFonts w:eastAsia="Times New Roman" w:cs="Times New Roman"/>
          <w:sz w:val="28"/>
          <w:szCs w:val="28"/>
          <w:lang w:eastAsia="ru-RU"/>
        </w:rPr>
      </w:pPr>
      <w:r w:rsidRPr="009303BE">
        <w:rPr>
          <w:rFonts w:eastAsia="Times New Roman" w:cs="Times New Roman"/>
          <w:sz w:val="28"/>
          <w:szCs w:val="28"/>
          <w:lang w:eastAsia="ru-RU"/>
        </w:rPr>
        <w:t>1)   малогабаритные (портативные) абонентские терминалы (</w:t>
      </w:r>
      <w:proofErr w:type="gramStart"/>
      <w:r w:rsidRPr="009303BE">
        <w:rPr>
          <w:rFonts w:eastAsia="Times New Roman" w:cs="Times New Roman"/>
          <w:sz w:val="28"/>
          <w:szCs w:val="28"/>
          <w:lang w:eastAsia="ru-RU"/>
        </w:rPr>
        <w:t>АТ-М</w:t>
      </w:r>
      <w:proofErr w:type="gramEnd"/>
      <w:r w:rsidRPr="009303BE">
        <w:rPr>
          <w:rFonts w:eastAsia="Times New Roman" w:cs="Times New Roman"/>
          <w:sz w:val="28"/>
          <w:szCs w:val="28"/>
          <w:lang w:eastAsia="ru-RU"/>
        </w:rPr>
        <w:t>);</w:t>
      </w:r>
    </w:p>
    <w:p w:rsidR="007F59B7" w:rsidRPr="009303BE" w:rsidRDefault="007F59B7" w:rsidP="007F59B7">
      <w:pPr>
        <w:spacing w:before="100" w:beforeAutospacing="1" w:after="100" w:afterAutospacing="1" w:line="360" w:lineRule="auto"/>
        <w:jc w:val="both"/>
        <w:rPr>
          <w:rFonts w:eastAsia="Times New Roman" w:cs="Times New Roman"/>
          <w:sz w:val="28"/>
          <w:szCs w:val="28"/>
          <w:lang w:eastAsia="ru-RU"/>
        </w:rPr>
      </w:pPr>
      <w:r w:rsidRPr="009303BE">
        <w:rPr>
          <w:rFonts w:eastAsia="Times New Roman" w:cs="Times New Roman"/>
          <w:sz w:val="28"/>
          <w:szCs w:val="28"/>
          <w:lang w:eastAsia="ru-RU"/>
        </w:rPr>
        <w:t>2)   стационарные абонентские терминалы (</w:t>
      </w:r>
      <w:proofErr w:type="gramStart"/>
      <w:r w:rsidRPr="009303BE">
        <w:rPr>
          <w:rFonts w:eastAsia="Times New Roman" w:cs="Times New Roman"/>
          <w:sz w:val="28"/>
          <w:szCs w:val="28"/>
          <w:lang w:eastAsia="ru-RU"/>
        </w:rPr>
        <w:t>АТ-С</w:t>
      </w:r>
      <w:proofErr w:type="gramEnd"/>
      <w:r w:rsidRPr="009303BE">
        <w:rPr>
          <w:rFonts w:eastAsia="Times New Roman" w:cs="Times New Roman"/>
          <w:sz w:val="28"/>
          <w:szCs w:val="28"/>
          <w:lang w:eastAsia="ru-RU"/>
        </w:rPr>
        <w:t>);</w:t>
      </w:r>
    </w:p>
    <w:p w:rsidR="007F59B7" w:rsidRPr="009303BE" w:rsidRDefault="007F59B7" w:rsidP="007F59B7">
      <w:pPr>
        <w:spacing w:before="100" w:beforeAutospacing="1" w:after="100" w:afterAutospacing="1" w:line="360" w:lineRule="auto"/>
        <w:jc w:val="both"/>
        <w:rPr>
          <w:rFonts w:eastAsia="Times New Roman" w:cs="Times New Roman"/>
          <w:sz w:val="28"/>
          <w:szCs w:val="28"/>
          <w:lang w:eastAsia="ru-RU"/>
        </w:rPr>
      </w:pPr>
      <w:r w:rsidRPr="009303BE">
        <w:rPr>
          <w:rFonts w:eastAsia="Times New Roman" w:cs="Times New Roman"/>
          <w:sz w:val="28"/>
          <w:szCs w:val="28"/>
          <w:lang w:eastAsia="ru-RU"/>
        </w:rPr>
        <w:lastRenderedPageBreak/>
        <w:t>3)   абонентские терминалы, предназначенные для экологического мониторинга (ЭТ).</w:t>
      </w:r>
    </w:p>
    <w:p w:rsidR="007F59B7" w:rsidRPr="007F59B7" w:rsidRDefault="007F59B7" w:rsidP="007F59B7">
      <w:pPr>
        <w:spacing w:before="100" w:beforeAutospacing="1" w:after="100" w:afterAutospacing="1" w:line="360" w:lineRule="auto"/>
        <w:ind w:firstLine="709"/>
        <w:jc w:val="both"/>
        <w:rPr>
          <w:rFonts w:eastAsia="Times New Roman" w:cs="Times New Roman"/>
          <w:sz w:val="28"/>
          <w:szCs w:val="28"/>
          <w:lang w:eastAsia="ru-RU"/>
        </w:rPr>
      </w:pPr>
      <w:r w:rsidRPr="009303BE">
        <w:rPr>
          <w:rFonts w:eastAsia="Times New Roman" w:cs="Times New Roman"/>
          <w:sz w:val="28"/>
          <w:szCs w:val="28"/>
          <w:lang w:eastAsia="ru-RU"/>
        </w:rPr>
        <w:t>Четвертый тип ЗС — региональные станции (РС), являются стационарными и уста</w:t>
      </w:r>
      <w:r w:rsidRPr="009303BE">
        <w:rPr>
          <w:rFonts w:eastAsia="Times New Roman" w:cs="Times New Roman"/>
          <w:sz w:val="28"/>
          <w:szCs w:val="28"/>
          <w:lang w:eastAsia="ru-RU"/>
        </w:rPr>
        <w:softHyphen/>
        <w:t xml:space="preserve">навливаются в районах с развитой инфраструктурой связи. </w:t>
      </w:r>
    </w:p>
    <w:p w:rsidR="007F59B7" w:rsidRDefault="007F59B7" w:rsidP="007F59B7">
      <w:pPr>
        <w:shd w:val="clear" w:color="auto" w:fill="FFFFFF"/>
        <w:spacing w:line="360" w:lineRule="auto"/>
        <w:ind w:firstLine="709"/>
        <w:jc w:val="both"/>
        <w:rPr>
          <w:color w:val="000000"/>
          <w:spacing w:val="20"/>
          <w:kern w:val="28"/>
          <w:sz w:val="28"/>
        </w:rPr>
      </w:pPr>
    </w:p>
    <w:p w:rsidR="007F59B7" w:rsidRPr="00B51C28" w:rsidRDefault="007F59B7" w:rsidP="007F59B7">
      <w:pPr>
        <w:shd w:val="clear" w:color="auto" w:fill="FFFFFF"/>
        <w:spacing w:line="360" w:lineRule="auto"/>
        <w:ind w:firstLine="709"/>
        <w:jc w:val="both"/>
        <w:rPr>
          <w:color w:val="000000"/>
          <w:spacing w:val="20"/>
          <w:kern w:val="28"/>
          <w:sz w:val="28"/>
        </w:rPr>
      </w:pPr>
      <w:r w:rsidRPr="00B51C28">
        <w:rPr>
          <w:color w:val="000000"/>
          <w:spacing w:val="20"/>
          <w:kern w:val="28"/>
          <w:sz w:val="28"/>
        </w:rPr>
        <w:t>2.2 Расчет структурной схемы модуля АФАР</w:t>
      </w:r>
    </w:p>
    <w:p w:rsidR="007F59B7" w:rsidRDefault="007F59B7" w:rsidP="007F59B7">
      <w:pPr>
        <w:shd w:val="clear" w:color="auto" w:fill="FFFFFF"/>
        <w:spacing w:line="360" w:lineRule="auto"/>
        <w:ind w:firstLine="709"/>
        <w:jc w:val="center"/>
        <w:rPr>
          <w:sz w:val="28"/>
        </w:rPr>
      </w:pPr>
    </w:p>
    <w:p w:rsidR="007F59B7" w:rsidRDefault="007F59B7" w:rsidP="007F59B7">
      <w:pPr>
        <w:shd w:val="clear" w:color="auto" w:fill="FFFFFF"/>
        <w:spacing w:line="360" w:lineRule="auto"/>
        <w:ind w:firstLine="709"/>
        <w:jc w:val="both"/>
        <w:rPr>
          <w:color w:val="000000"/>
          <w:sz w:val="28"/>
        </w:rPr>
      </w:pPr>
      <w:r>
        <w:rPr>
          <w:color w:val="000000"/>
          <w:sz w:val="28"/>
        </w:rPr>
        <w:t xml:space="preserve">Структурная схема модуля АФАР представлена на рисунке 2.3. </w:t>
      </w:r>
      <w:r>
        <w:rPr>
          <w:color w:val="000000"/>
          <w:spacing w:val="2"/>
          <w:sz w:val="28"/>
        </w:rPr>
        <w:t xml:space="preserve">Имея заданную выходную мощность </w:t>
      </w:r>
      <w:r w:rsidRPr="00A24A67">
        <w:rPr>
          <w:color w:val="000000"/>
          <w:spacing w:val="2"/>
          <w:position w:val="-8"/>
          <w:sz w:val="28"/>
        </w:rPr>
        <w:object w:dxaOrig="6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pt;height:18.75pt" o:ole="" fillcolor="window">
            <v:imagedata r:id="rId6" o:title=""/>
          </v:shape>
          <o:OLEObject Type="Embed" ProgID="Equation.3" ShapeID="_x0000_i1025" DrawAspect="Content" ObjectID="_1505552414" r:id="rId7"/>
        </w:object>
      </w:r>
      <w:r>
        <w:rPr>
          <w:color w:val="000000"/>
          <w:spacing w:val="2"/>
          <w:sz w:val="28"/>
        </w:rPr>
        <w:t>, зададимся контурными КПД со</w:t>
      </w:r>
      <w:r>
        <w:rPr>
          <w:color w:val="000000"/>
          <w:spacing w:val="2"/>
          <w:sz w:val="28"/>
        </w:rPr>
        <w:softHyphen/>
      </w:r>
      <w:r>
        <w:rPr>
          <w:color w:val="000000"/>
          <w:spacing w:val="-4"/>
          <w:sz w:val="28"/>
        </w:rPr>
        <w:t>гласующих цепей (СЦ</w:t>
      </w:r>
      <w:proofErr w:type="gramStart"/>
      <w:r>
        <w:rPr>
          <w:color w:val="000000"/>
          <w:spacing w:val="-4"/>
          <w:sz w:val="28"/>
        </w:rPr>
        <w:t>1</w:t>
      </w:r>
      <w:proofErr w:type="gramEnd"/>
      <w:r>
        <w:rPr>
          <w:color w:val="000000"/>
          <w:spacing w:val="-4"/>
          <w:sz w:val="28"/>
        </w:rPr>
        <w:t>, СЦ2, СЦЗ) (</w:t>
      </w:r>
      <w:r w:rsidRPr="00A24A67">
        <w:rPr>
          <w:color w:val="000000"/>
          <w:spacing w:val="-4"/>
          <w:position w:val="-18"/>
          <w:sz w:val="28"/>
        </w:rPr>
        <w:object w:dxaOrig="740" w:dyaOrig="480">
          <v:shape id="_x0000_i1026" type="#_x0000_t75" style="width:36.75pt;height:24pt" o:ole="" fillcolor="window">
            <v:imagedata r:id="rId8" o:title=""/>
          </v:shape>
          <o:OLEObject Type="Embed" ProgID="Equation.3" ShapeID="_x0000_i1026" DrawAspect="Content" ObjectID="_1505552415" r:id="rId9"/>
        </w:object>
      </w:r>
      <w:r>
        <w:rPr>
          <w:color w:val="000000"/>
          <w:spacing w:val="-4"/>
          <w:sz w:val="28"/>
        </w:rPr>
        <w:t>=</w:t>
      </w:r>
      <w:r w:rsidRPr="00A24A67">
        <w:rPr>
          <w:color w:val="000000"/>
          <w:spacing w:val="-4"/>
          <w:position w:val="-18"/>
          <w:sz w:val="28"/>
        </w:rPr>
        <w:object w:dxaOrig="780" w:dyaOrig="480">
          <v:shape id="_x0000_i1027" type="#_x0000_t75" style="width:39pt;height:24pt" o:ole="" fillcolor="window">
            <v:imagedata r:id="rId10" o:title=""/>
          </v:shape>
          <o:OLEObject Type="Embed" ProgID="Equation.3" ShapeID="_x0000_i1027" DrawAspect="Content" ObjectID="_1505552416" r:id="rId11"/>
        </w:object>
      </w:r>
      <w:r>
        <w:rPr>
          <w:color w:val="000000"/>
          <w:spacing w:val="-4"/>
          <w:sz w:val="28"/>
        </w:rPr>
        <w:t>=</w:t>
      </w:r>
      <w:r w:rsidRPr="00A24A67">
        <w:rPr>
          <w:color w:val="000000"/>
          <w:spacing w:val="-4"/>
          <w:position w:val="-18"/>
          <w:sz w:val="28"/>
        </w:rPr>
        <w:object w:dxaOrig="740" w:dyaOrig="480">
          <v:shape id="_x0000_i1028" type="#_x0000_t75" style="width:36.75pt;height:24pt" o:ole="" fillcolor="window">
            <v:imagedata r:id="rId12" o:title=""/>
          </v:shape>
          <o:OLEObject Type="Embed" ProgID="Equation.3" ShapeID="_x0000_i1028" DrawAspect="Content" ObjectID="_1505552417" r:id="rId13"/>
        </w:object>
      </w:r>
      <w:r>
        <w:rPr>
          <w:color w:val="000000"/>
          <w:spacing w:val="-4"/>
          <w:sz w:val="28"/>
        </w:rPr>
        <w:t>=</w:t>
      </w:r>
      <w:r w:rsidRPr="00A24A67">
        <w:rPr>
          <w:color w:val="000000"/>
          <w:spacing w:val="-4"/>
          <w:position w:val="-18"/>
          <w:sz w:val="28"/>
        </w:rPr>
        <w:object w:dxaOrig="660" w:dyaOrig="480">
          <v:shape id="_x0000_i1029" type="#_x0000_t75" style="width:33pt;height:24pt" o:ole="" fillcolor="window">
            <v:imagedata r:id="rId14" o:title=""/>
          </v:shape>
          <o:OLEObject Type="Embed" ProgID="Equation.3" ShapeID="_x0000_i1029" DrawAspect="Content" ObjectID="_1505552418" r:id="rId15"/>
        </w:object>
      </w:r>
      <w:r>
        <w:rPr>
          <w:color w:val="000000"/>
          <w:spacing w:val="-4"/>
          <w:sz w:val="28"/>
        </w:rPr>
        <w:t>=0,9) и най</w:t>
      </w:r>
      <w:r>
        <w:rPr>
          <w:color w:val="000000"/>
          <w:spacing w:val="-4"/>
          <w:sz w:val="28"/>
        </w:rPr>
        <w:softHyphen/>
      </w:r>
      <w:r>
        <w:rPr>
          <w:color w:val="000000"/>
          <w:sz w:val="28"/>
        </w:rPr>
        <w:t>дем мощность на выходе умножителя частоты:</w:t>
      </w:r>
    </w:p>
    <w:p w:rsidR="007F59B7" w:rsidRDefault="007F59B7" w:rsidP="007F59B7">
      <w:pPr>
        <w:shd w:val="clear" w:color="auto" w:fill="FFFFFF"/>
        <w:spacing w:line="360" w:lineRule="auto"/>
        <w:ind w:firstLine="709"/>
        <w:jc w:val="center"/>
        <w:rPr>
          <w:sz w:val="28"/>
        </w:rPr>
      </w:pPr>
      <w:r w:rsidRPr="00A24A67">
        <w:rPr>
          <w:position w:val="-42"/>
          <w:sz w:val="28"/>
        </w:rPr>
        <w:object w:dxaOrig="4819" w:dyaOrig="920">
          <v:shape id="_x0000_i1030" type="#_x0000_t75" style="width:240.75pt;height:45.75pt" o:ole="" fillcolor="window">
            <v:imagedata r:id="rId16" o:title=""/>
          </v:shape>
          <o:OLEObject Type="Embed" ProgID="Equation.3" ShapeID="_x0000_i1030" DrawAspect="Content" ObjectID="_1505552419" r:id="rId17"/>
        </w:object>
      </w:r>
      <w:r>
        <w:rPr>
          <w:sz w:val="28"/>
        </w:rPr>
        <w:t xml:space="preserve"> </w:t>
      </w:r>
      <w:proofErr w:type="gramStart"/>
      <w:r>
        <w:rPr>
          <w:sz w:val="28"/>
        </w:rPr>
        <w:t>Вт</w:t>
      </w:r>
      <w:proofErr w:type="gramEnd"/>
      <w:r>
        <w:rPr>
          <w:sz w:val="28"/>
        </w:rPr>
        <w:t>.</w:t>
      </w:r>
    </w:p>
    <w:p w:rsidR="007F59B7" w:rsidRDefault="007F59B7" w:rsidP="007F59B7">
      <w:pPr>
        <w:shd w:val="clear" w:color="auto" w:fill="FFFFFF"/>
        <w:spacing w:line="360" w:lineRule="auto"/>
        <w:ind w:firstLine="709"/>
        <w:jc w:val="center"/>
        <w:rPr>
          <w:sz w:val="28"/>
        </w:rPr>
      </w:pPr>
    </w:p>
    <w:p w:rsidR="007F59B7" w:rsidRDefault="007F59B7" w:rsidP="007F59B7">
      <w:pPr>
        <w:shd w:val="clear" w:color="auto" w:fill="FFFFFF"/>
        <w:spacing w:line="360" w:lineRule="auto"/>
        <w:jc w:val="both"/>
      </w:pPr>
      <w:r>
        <w:rPr>
          <w:noProof/>
          <w:lang w:eastAsia="ru-RU" w:bidi="ar-SA"/>
        </w:rPr>
        <w:drawing>
          <wp:inline distT="0" distB="0" distL="0" distR="0">
            <wp:extent cx="5895975" cy="3295650"/>
            <wp:effectExtent l="0" t="0" r="9525" b="0"/>
            <wp:docPr id="2" name="Рисунок 2" descr="D:\Сайт\Безымянный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Сайт\Безымянный - копия.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5975" cy="3295650"/>
                    </a:xfrm>
                    <a:prstGeom prst="rect">
                      <a:avLst/>
                    </a:prstGeom>
                    <a:noFill/>
                    <a:ln>
                      <a:noFill/>
                    </a:ln>
                  </pic:spPr>
                </pic:pic>
              </a:graphicData>
            </a:graphic>
          </wp:inline>
        </w:drawing>
      </w:r>
    </w:p>
    <w:p w:rsidR="007F59B7" w:rsidRDefault="007F59B7" w:rsidP="007F59B7">
      <w:pPr>
        <w:pStyle w:val="2"/>
        <w:jc w:val="center"/>
        <w:rPr>
          <w:rFonts w:ascii="Times New Roman" w:hAnsi="Times New Roman" w:cs="Times New Roman"/>
          <w:b w:val="0"/>
          <w:color w:val="000000"/>
          <w:sz w:val="28"/>
        </w:rPr>
      </w:pPr>
      <w:r>
        <w:rPr>
          <w:rFonts w:ascii="Times New Roman" w:hAnsi="Times New Roman" w:cs="Times New Roman"/>
          <w:b w:val="0"/>
          <w:color w:val="000000"/>
          <w:sz w:val="28"/>
        </w:rPr>
        <w:t xml:space="preserve">Рисунок 2.3 – </w:t>
      </w:r>
      <w:r w:rsidRPr="00B51C28">
        <w:rPr>
          <w:rFonts w:ascii="Times New Roman" w:hAnsi="Times New Roman" w:cs="Times New Roman"/>
          <w:b w:val="0"/>
          <w:color w:val="000000"/>
          <w:sz w:val="28"/>
        </w:rPr>
        <w:t>Структурная схема модуля АФАР</w:t>
      </w:r>
    </w:p>
    <w:p w:rsidR="007F59B7" w:rsidRPr="000D7CE2" w:rsidRDefault="007F59B7" w:rsidP="007F59B7"/>
    <w:p w:rsidR="007F59B7" w:rsidRPr="000D7CE2" w:rsidRDefault="007F59B7" w:rsidP="007F59B7"/>
    <w:p w:rsidR="007F59B7" w:rsidRDefault="007F59B7" w:rsidP="007F59B7">
      <w:pPr>
        <w:shd w:val="clear" w:color="auto" w:fill="FFFFFF"/>
        <w:spacing w:line="360" w:lineRule="auto"/>
        <w:ind w:firstLine="709"/>
        <w:jc w:val="both"/>
      </w:pPr>
      <w:r>
        <w:rPr>
          <w:color w:val="000000"/>
          <w:spacing w:val="2"/>
          <w:sz w:val="28"/>
        </w:rPr>
        <w:lastRenderedPageBreak/>
        <w:t xml:space="preserve">Зная выходную мощность умножителя частоты, коэффициент умножения </w:t>
      </w:r>
      <w:r>
        <w:rPr>
          <w:color w:val="000000"/>
          <w:spacing w:val="3"/>
          <w:sz w:val="28"/>
        </w:rPr>
        <w:t xml:space="preserve">и входную частоту, с помощью программы </w:t>
      </w:r>
      <w:r>
        <w:rPr>
          <w:color w:val="000000"/>
          <w:spacing w:val="3"/>
          <w:sz w:val="28"/>
          <w:lang w:val="en-US"/>
        </w:rPr>
        <w:t>MULTIPLY</w:t>
      </w:r>
      <w:r>
        <w:rPr>
          <w:color w:val="000000"/>
          <w:spacing w:val="3"/>
          <w:sz w:val="28"/>
        </w:rPr>
        <w:t xml:space="preserve"> вы</w:t>
      </w:r>
      <w:r>
        <w:rPr>
          <w:color w:val="000000"/>
          <w:spacing w:val="-1"/>
          <w:sz w:val="28"/>
        </w:rPr>
        <w:t xml:space="preserve">берем транзистор </w:t>
      </w:r>
      <w:r>
        <w:rPr>
          <w:color w:val="000000"/>
          <w:spacing w:val="1"/>
          <w:sz w:val="28"/>
        </w:rPr>
        <w:t>и рассчитаем его режим работы. В числе прочих результатов программа вы</w:t>
      </w:r>
      <w:r>
        <w:rPr>
          <w:color w:val="000000"/>
          <w:spacing w:val="1"/>
          <w:sz w:val="28"/>
        </w:rPr>
        <w:softHyphen/>
      </w:r>
      <w:r>
        <w:rPr>
          <w:color w:val="000000"/>
          <w:spacing w:val="-2"/>
          <w:sz w:val="28"/>
        </w:rPr>
        <w:t xml:space="preserve">дает коэффициент усиления по мощности </w:t>
      </w:r>
      <w:r w:rsidRPr="00A24A67">
        <w:rPr>
          <w:color w:val="000000"/>
          <w:spacing w:val="-2"/>
          <w:position w:val="-14"/>
          <w:sz w:val="28"/>
        </w:rPr>
        <w:object w:dxaOrig="1460" w:dyaOrig="440">
          <v:shape id="_x0000_i1031" type="#_x0000_t75" style="width:72.75pt;height:21.75pt" o:ole="" fillcolor="window">
            <v:imagedata r:id="rId19" o:title=""/>
          </v:shape>
          <o:OLEObject Type="Embed" ProgID="Equation.3" ShapeID="_x0000_i1031" DrawAspect="Content" ObjectID="_1505552420" r:id="rId20"/>
        </w:object>
      </w:r>
      <w:r>
        <w:rPr>
          <w:color w:val="000000"/>
          <w:spacing w:val="-2"/>
          <w:sz w:val="28"/>
        </w:rPr>
        <w:t>,</w:t>
      </w:r>
      <w:r>
        <w:rPr>
          <w:i/>
          <w:color w:val="000000"/>
          <w:spacing w:val="-2"/>
          <w:sz w:val="28"/>
        </w:rPr>
        <w:t xml:space="preserve"> </w:t>
      </w:r>
      <w:r>
        <w:rPr>
          <w:color w:val="000000"/>
          <w:spacing w:val="-2"/>
          <w:sz w:val="28"/>
        </w:rPr>
        <w:t xml:space="preserve">используя который мы </w:t>
      </w:r>
      <w:r>
        <w:rPr>
          <w:color w:val="000000"/>
          <w:spacing w:val="1"/>
          <w:sz w:val="28"/>
        </w:rPr>
        <w:t>вычисляем мощность на входе умножителя частоты, совпадающую, разуме</w:t>
      </w:r>
      <w:r>
        <w:rPr>
          <w:color w:val="000000"/>
          <w:spacing w:val="1"/>
          <w:sz w:val="28"/>
        </w:rPr>
        <w:softHyphen/>
      </w:r>
      <w:r>
        <w:rPr>
          <w:color w:val="000000"/>
          <w:spacing w:val="-5"/>
          <w:sz w:val="28"/>
        </w:rPr>
        <w:t>ется, с мощностью на выходе СЦ</w:t>
      </w:r>
      <w:proofErr w:type="gramStart"/>
      <w:r>
        <w:rPr>
          <w:color w:val="000000"/>
          <w:spacing w:val="-5"/>
          <w:sz w:val="28"/>
        </w:rPr>
        <w:t>2</w:t>
      </w:r>
      <w:proofErr w:type="gramEnd"/>
      <w:r>
        <w:rPr>
          <w:color w:val="000000"/>
          <w:spacing w:val="-5"/>
          <w:sz w:val="28"/>
        </w:rPr>
        <w:t xml:space="preserve"> </w:t>
      </w:r>
      <w:r w:rsidRPr="00A24A67">
        <w:rPr>
          <w:color w:val="000000"/>
          <w:spacing w:val="-5"/>
          <w:position w:val="-18"/>
          <w:sz w:val="28"/>
        </w:rPr>
        <w:object w:dxaOrig="1100" w:dyaOrig="480">
          <v:shape id="_x0000_i1032" type="#_x0000_t75" style="width:54.75pt;height:24pt" o:ole="" fillcolor="window">
            <v:imagedata r:id="rId21" o:title=""/>
          </v:shape>
          <o:OLEObject Type="Embed" ProgID="Equation.3" ShapeID="_x0000_i1032" DrawAspect="Content" ObjectID="_1505552421" r:id="rId22"/>
        </w:object>
      </w:r>
      <w:r>
        <w:rPr>
          <w:color w:val="000000"/>
          <w:spacing w:val="-5"/>
          <w:sz w:val="28"/>
        </w:rPr>
        <w:t>):</w:t>
      </w:r>
    </w:p>
    <w:p w:rsidR="007F59B7" w:rsidRDefault="007F59B7" w:rsidP="007F59B7">
      <w:pPr>
        <w:shd w:val="clear" w:color="auto" w:fill="FFFFFF"/>
        <w:spacing w:line="360" w:lineRule="auto"/>
        <w:ind w:firstLine="709"/>
        <w:jc w:val="center"/>
        <w:rPr>
          <w:sz w:val="28"/>
        </w:rPr>
      </w:pPr>
      <w:r w:rsidRPr="00A24A67">
        <w:rPr>
          <w:position w:val="-36"/>
        </w:rPr>
        <w:object w:dxaOrig="6020" w:dyaOrig="859">
          <v:shape id="_x0000_i1033" type="#_x0000_t75" style="width:300.75pt;height:42.75pt" o:ole="" fillcolor="window">
            <v:imagedata r:id="rId23" o:title=""/>
          </v:shape>
          <o:OLEObject Type="Embed" ProgID="Equation.3" ShapeID="_x0000_i1033" DrawAspect="Content" ObjectID="_1505552422" r:id="rId24"/>
        </w:object>
      </w:r>
      <w:r>
        <w:t xml:space="preserve"> </w:t>
      </w:r>
      <w:proofErr w:type="gramStart"/>
      <w:r>
        <w:rPr>
          <w:sz w:val="28"/>
        </w:rPr>
        <w:t>Вт</w:t>
      </w:r>
      <w:proofErr w:type="gramEnd"/>
      <w:r>
        <w:rPr>
          <w:sz w:val="28"/>
        </w:rPr>
        <w:t>.</w:t>
      </w:r>
    </w:p>
    <w:p w:rsidR="007F59B7" w:rsidRDefault="007F59B7" w:rsidP="007F59B7">
      <w:pPr>
        <w:shd w:val="clear" w:color="auto" w:fill="FFFFFF"/>
        <w:spacing w:line="360" w:lineRule="auto"/>
        <w:ind w:firstLine="709"/>
        <w:jc w:val="both"/>
        <w:rPr>
          <w:color w:val="000000"/>
          <w:spacing w:val="-3"/>
          <w:sz w:val="28"/>
        </w:rPr>
      </w:pPr>
      <w:r>
        <w:rPr>
          <w:color w:val="000000"/>
          <w:spacing w:val="1"/>
          <w:sz w:val="28"/>
        </w:rPr>
        <w:t>Поскольку, как упоминалось выше, мы задали контурный КПД согла</w:t>
      </w:r>
      <w:r>
        <w:rPr>
          <w:color w:val="000000"/>
          <w:spacing w:val="1"/>
          <w:sz w:val="28"/>
        </w:rPr>
        <w:softHyphen/>
      </w:r>
      <w:r>
        <w:rPr>
          <w:color w:val="000000"/>
          <w:spacing w:val="5"/>
          <w:sz w:val="28"/>
        </w:rPr>
        <w:t xml:space="preserve">сующих цепей равным </w:t>
      </w:r>
      <w:r w:rsidRPr="00A24A67">
        <w:rPr>
          <w:color w:val="000000"/>
          <w:spacing w:val="5"/>
          <w:position w:val="-18"/>
          <w:sz w:val="28"/>
        </w:rPr>
        <w:object w:dxaOrig="920" w:dyaOrig="480">
          <v:shape id="_x0000_i1034" type="#_x0000_t75" style="width:45.75pt;height:24pt" o:ole="" fillcolor="window">
            <v:imagedata r:id="rId25" o:title=""/>
          </v:shape>
          <o:OLEObject Type="Embed" ProgID="Equation.3" ShapeID="_x0000_i1034" DrawAspect="Content" ObjectID="_1505552423" r:id="rId26"/>
        </w:object>
      </w:r>
      <w:r>
        <w:rPr>
          <w:color w:val="000000"/>
          <w:spacing w:val="5"/>
          <w:sz w:val="28"/>
        </w:rPr>
        <w:t>0,9, то мощность на входе СЦ</w:t>
      </w:r>
      <w:proofErr w:type="gramStart"/>
      <w:r>
        <w:rPr>
          <w:color w:val="000000"/>
          <w:spacing w:val="5"/>
          <w:sz w:val="28"/>
        </w:rPr>
        <w:t>2</w:t>
      </w:r>
      <w:proofErr w:type="gramEnd"/>
      <w:r>
        <w:rPr>
          <w:color w:val="000000"/>
          <w:spacing w:val="5"/>
          <w:sz w:val="28"/>
        </w:rPr>
        <w:t xml:space="preserve"> </w:t>
      </w:r>
      <w:r w:rsidRPr="00A24A67">
        <w:rPr>
          <w:color w:val="000000"/>
          <w:spacing w:val="5"/>
          <w:position w:val="-18"/>
          <w:sz w:val="28"/>
        </w:rPr>
        <w:object w:dxaOrig="859" w:dyaOrig="480">
          <v:shape id="_x0000_i1035" type="#_x0000_t75" style="width:42.75pt;height:24pt" o:ole="" fillcolor="window">
            <v:imagedata r:id="rId27" o:title=""/>
          </v:shape>
          <o:OLEObject Type="Embed" ProgID="Equation.3" ShapeID="_x0000_i1035" DrawAspect="Content" ObjectID="_1505552424" r:id="rId28"/>
        </w:object>
      </w:r>
      <w:r>
        <w:rPr>
          <w:color w:val="000000"/>
          <w:spacing w:val="5"/>
          <w:sz w:val="28"/>
        </w:rPr>
        <w:t>,</w:t>
      </w:r>
      <w:r>
        <w:rPr>
          <w:i/>
          <w:color w:val="000000"/>
          <w:spacing w:val="5"/>
          <w:sz w:val="28"/>
        </w:rPr>
        <w:t xml:space="preserve"> </w:t>
      </w:r>
      <w:r>
        <w:rPr>
          <w:color w:val="000000"/>
          <w:spacing w:val="5"/>
          <w:sz w:val="28"/>
        </w:rPr>
        <w:t xml:space="preserve">равная </w:t>
      </w:r>
      <w:r>
        <w:rPr>
          <w:color w:val="000000"/>
          <w:spacing w:val="-3"/>
          <w:sz w:val="28"/>
        </w:rPr>
        <w:t xml:space="preserve">мощности на выходе усилителя мощности </w:t>
      </w:r>
      <w:r w:rsidRPr="00A24A67">
        <w:rPr>
          <w:color w:val="000000"/>
          <w:spacing w:val="-3"/>
          <w:position w:val="-14"/>
          <w:sz w:val="28"/>
        </w:rPr>
        <w:object w:dxaOrig="920" w:dyaOrig="440">
          <v:shape id="_x0000_i1036" type="#_x0000_t75" style="width:45.75pt;height:21.75pt" o:ole="" fillcolor="window">
            <v:imagedata r:id="rId29" o:title=""/>
          </v:shape>
          <o:OLEObject Type="Embed" ProgID="Equation.3" ShapeID="_x0000_i1036" DrawAspect="Content" ObjectID="_1505552425" r:id="rId30"/>
        </w:object>
      </w:r>
      <w:r>
        <w:rPr>
          <w:color w:val="000000"/>
          <w:spacing w:val="-3"/>
          <w:sz w:val="28"/>
        </w:rPr>
        <w:t>, равна:</w:t>
      </w:r>
    </w:p>
    <w:p w:rsidR="007F59B7" w:rsidRDefault="007F59B7" w:rsidP="007F59B7">
      <w:pPr>
        <w:shd w:val="clear" w:color="auto" w:fill="FFFFFF"/>
        <w:spacing w:line="360" w:lineRule="auto"/>
        <w:ind w:firstLine="709"/>
        <w:jc w:val="center"/>
      </w:pPr>
      <w:r w:rsidRPr="00A24A67">
        <w:rPr>
          <w:position w:val="-12"/>
        </w:rPr>
        <w:object w:dxaOrig="220" w:dyaOrig="420">
          <v:shape id="_x0000_i1037" type="#_x0000_t75" style="width:11.25pt;height:21pt" o:ole="" fillcolor="window">
            <v:imagedata r:id="rId31" o:title=""/>
          </v:shape>
          <o:OLEObject Type="Embed" ProgID="Equation.3" ShapeID="_x0000_i1037" DrawAspect="Content" ObjectID="_1505552426" r:id="rId32"/>
        </w:object>
      </w:r>
      <w:r w:rsidRPr="00A24A67">
        <w:rPr>
          <w:position w:val="-38"/>
        </w:rPr>
        <w:object w:dxaOrig="6180" w:dyaOrig="880">
          <v:shape id="_x0000_i1038" type="#_x0000_t75" style="width:309pt;height:44.25pt" o:ole="" fillcolor="window">
            <v:imagedata r:id="rId33" o:title=""/>
          </v:shape>
          <o:OLEObject Type="Embed" ProgID="Equation.3" ShapeID="_x0000_i1038" DrawAspect="Content" ObjectID="_1505552427" r:id="rId34"/>
        </w:object>
      </w:r>
      <w:r>
        <w:t xml:space="preserve"> </w:t>
      </w:r>
      <w:proofErr w:type="gramStart"/>
      <w:r>
        <w:rPr>
          <w:sz w:val="28"/>
        </w:rPr>
        <w:t>Вт</w:t>
      </w:r>
      <w:proofErr w:type="gramEnd"/>
      <w:r>
        <w:rPr>
          <w:sz w:val="28"/>
        </w:rPr>
        <w:t>.</w:t>
      </w:r>
    </w:p>
    <w:p w:rsidR="007F59B7" w:rsidRDefault="007F59B7" w:rsidP="007F59B7">
      <w:pPr>
        <w:shd w:val="clear" w:color="auto" w:fill="FFFFFF"/>
        <w:spacing w:line="360" w:lineRule="auto"/>
        <w:ind w:firstLine="709"/>
        <w:jc w:val="both"/>
        <w:rPr>
          <w:color w:val="000000"/>
          <w:spacing w:val="-1"/>
          <w:sz w:val="28"/>
        </w:rPr>
      </w:pPr>
      <w:r>
        <w:rPr>
          <w:color w:val="000000"/>
          <w:spacing w:val="-4"/>
          <w:sz w:val="28"/>
        </w:rPr>
        <w:t>Теперь, зная мощность на выходе усилителя мощности</w:t>
      </w:r>
      <w:proofErr w:type="gramStart"/>
      <w:r>
        <w:rPr>
          <w:color w:val="000000"/>
          <w:spacing w:val="-4"/>
          <w:sz w:val="28"/>
        </w:rPr>
        <w:t xml:space="preserve"> (</w:t>
      </w:r>
      <w:r w:rsidRPr="00A24A67">
        <w:rPr>
          <w:color w:val="000000"/>
          <w:spacing w:val="-4"/>
          <w:position w:val="-14"/>
          <w:sz w:val="28"/>
        </w:rPr>
        <w:object w:dxaOrig="920" w:dyaOrig="440">
          <v:shape id="_x0000_i1039" type="#_x0000_t75" style="width:45.75pt;height:21.75pt" o:ole="" fillcolor="window">
            <v:imagedata r:id="rId35" o:title=""/>
          </v:shape>
          <o:OLEObject Type="Embed" ProgID="Equation.3" ShapeID="_x0000_i1039" DrawAspect="Content" ObjectID="_1505552428" r:id="rId36"/>
        </w:object>
      </w:r>
      <w:r>
        <w:rPr>
          <w:color w:val="000000"/>
          <w:spacing w:val="-4"/>
          <w:sz w:val="28"/>
        </w:rPr>
        <w:t xml:space="preserve">) </w:t>
      </w:r>
      <w:proofErr w:type="gramEnd"/>
      <w:r>
        <w:rPr>
          <w:color w:val="000000"/>
          <w:spacing w:val="-4"/>
          <w:sz w:val="28"/>
        </w:rPr>
        <w:t xml:space="preserve">и зная его </w:t>
      </w:r>
      <w:r>
        <w:rPr>
          <w:color w:val="000000"/>
          <w:spacing w:val="1"/>
          <w:sz w:val="28"/>
        </w:rPr>
        <w:t xml:space="preserve">рабочую частоту </w:t>
      </w:r>
      <w:r w:rsidRPr="00A24A67">
        <w:rPr>
          <w:color w:val="000000"/>
          <w:spacing w:val="1"/>
          <w:position w:val="-12"/>
          <w:sz w:val="28"/>
        </w:rPr>
        <w:object w:dxaOrig="300" w:dyaOrig="400">
          <v:shape id="_x0000_i1040" type="#_x0000_t75" style="width:15pt;height:20.25pt" o:ole="" fillcolor="window">
            <v:imagedata r:id="rId37" o:title=""/>
          </v:shape>
          <o:OLEObject Type="Embed" ProgID="Equation.3" ShapeID="_x0000_i1040" DrawAspect="Content" ObjectID="_1505552429" r:id="rId38"/>
        </w:object>
      </w:r>
      <w:r>
        <w:rPr>
          <w:color w:val="000000"/>
          <w:spacing w:val="1"/>
          <w:sz w:val="28"/>
        </w:rPr>
        <w:t xml:space="preserve">=0,3 ГГц, с помощью программы </w:t>
      </w:r>
      <w:r>
        <w:rPr>
          <w:color w:val="000000"/>
          <w:spacing w:val="1"/>
          <w:sz w:val="28"/>
          <w:lang w:val="en-US"/>
        </w:rPr>
        <w:t>AMPLIFY</w:t>
      </w:r>
      <w:r>
        <w:rPr>
          <w:color w:val="000000"/>
          <w:spacing w:val="1"/>
          <w:sz w:val="28"/>
        </w:rPr>
        <w:t xml:space="preserve"> выбираем активный прибор (транзистор) и рассчитываем его режим работы </w:t>
      </w:r>
      <w:r>
        <w:rPr>
          <w:color w:val="000000"/>
          <w:sz w:val="28"/>
        </w:rPr>
        <w:t xml:space="preserve">для СВЧ усилителя мощности. Полученный в ходе расчетов коэффициент усиления </w:t>
      </w:r>
      <w:r w:rsidRPr="00A24A67">
        <w:rPr>
          <w:color w:val="000000"/>
          <w:position w:val="-18"/>
          <w:sz w:val="28"/>
        </w:rPr>
        <w:object w:dxaOrig="560" w:dyaOrig="480">
          <v:shape id="_x0000_i1041" type="#_x0000_t75" style="width:27.75pt;height:24pt" o:ole="" fillcolor="window">
            <v:imagedata r:id="rId39" o:title=""/>
          </v:shape>
          <o:OLEObject Type="Embed" ProgID="Equation.3" ShapeID="_x0000_i1041" DrawAspect="Content" ObjectID="_1505552430" r:id="rId40"/>
        </w:object>
      </w:r>
      <w:r>
        <w:rPr>
          <w:i/>
          <w:color w:val="000000"/>
          <w:sz w:val="28"/>
        </w:rPr>
        <w:t xml:space="preserve"> </w:t>
      </w:r>
      <w:r>
        <w:rPr>
          <w:color w:val="000000"/>
          <w:sz w:val="28"/>
        </w:rPr>
        <w:t xml:space="preserve">позволяет найти мощность на входе усилителя, тождественно </w:t>
      </w:r>
      <w:r>
        <w:rPr>
          <w:color w:val="000000"/>
          <w:spacing w:val="-1"/>
          <w:sz w:val="28"/>
        </w:rPr>
        <w:t>равную мощности на выходе входной согласующей цепи СЦ</w:t>
      </w:r>
      <w:proofErr w:type="gramStart"/>
      <w:r>
        <w:rPr>
          <w:color w:val="000000"/>
          <w:spacing w:val="-1"/>
          <w:sz w:val="28"/>
        </w:rPr>
        <w:t>1</w:t>
      </w:r>
      <w:proofErr w:type="gramEnd"/>
      <w:r>
        <w:rPr>
          <w:color w:val="000000"/>
          <w:spacing w:val="-1"/>
          <w:sz w:val="28"/>
        </w:rPr>
        <w:t>:</w:t>
      </w:r>
    </w:p>
    <w:p w:rsidR="007F59B7" w:rsidRDefault="007F59B7" w:rsidP="007F59B7">
      <w:pPr>
        <w:shd w:val="clear" w:color="auto" w:fill="FFFFFF"/>
        <w:spacing w:line="360" w:lineRule="auto"/>
        <w:ind w:firstLine="709"/>
        <w:jc w:val="center"/>
        <w:rPr>
          <w:sz w:val="28"/>
        </w:rPr>
      </w:pPr>
      <w:r w:rsidRPr="00A24A67">
        <w:rPr>
          <w:position w:val="-36"/>
        </w:rPr>
        <w:object w:dxaOrig="5880" w:dyaOrig="859">
          <v:shape id="_x0000_i1042" type="#_x0000_t75" style="width:294pt;height:42.75pt" o:ole="" fillcolor="window">
            <v:imagedata r:id="rId41" o:title=""/>
          </v:shape>
          <o:OLEObject Type="Embed" ProgID="Equation.3" ShapeID="_x0000_i1042" DrawAspect="Content" ObjectID="_1505552431" r:id="rId42"/>
        </w:object>
      </w:r>
      <w:r>
        <w:t xml:space="preserve"> </w:t>
      </w:r>
      <w:proofErr w:type="gramStart"/>
      <w:r>
        <w:rPr>
          <w:sz w:val="28"/>
        </w:rPr>
        <w:t>Вт</w:t>
      </w:r>
      <w:proofErr w:type="gramEnd"/>
      <w:r>
        <w:rPr>
          <w:sz w:val="28"/>
        </w:rPr>
        <w:t>.</w:t>
      </w:r>
    </w:p>
    <w:p w:rsidR="007F59B7" w:rsidRDefault="007F59B7" w:rsidP="007F59B7">
      <w:pPr>
        <w:shd w:val="clear" w:color="auto" w:fill="FFFFFF"/>
        <w:spacing w:line="360" w:lineRule="auto"/>
        <w:ind w:firstLine="709"/>
        <w:rPr>
          <w:color w:val="000000"/>
          <w:spacing w:val="-2"/>
          <w:sz w:val="28"/>
        </w:rPr>
      </w:pPr>
      <w:r>
        <w:rPr>
          <w:color w:val="000000"/>
          <w:spacing w:val="11"/>
          <w:sz w:val="28"/>
        </w:rPr>
        <w:t xml:space="preserve">Поскольку мы задали контурный КПД согласующих цепей равным </w:t>
      </w:r>
      <w:r w:rsidRPr="00A24A67">
        <w:rPr>
          <w:color w:val="000000"/>
          <w:spacing w:val="11"/>
          <w:position w:val="-18"/>
          <w:sz w:val="28"/>
        </w:rPr>
        <w:object w:dxaOrig="920" w:dyaOrig="480">
          <v:shape id="_x0000_i1043" type="#_x0000_t75" style="width:45.75pt;height:24pt" o:ole="" fillcolor="window">
            <v:imagedata r:id="rId43" o:title=""/>
          </v:shape>
          <o:OLEObject Type="Embed" ProgID="Equation.3" ShapeID="_x0000_i1043" DrawAspect="Content" ObjectID="_1505552432" r:id="rId44"/>
        </w:object>
      </w:r>
      <w:r>
        <w:rPr>
          <w:color w:val="000000"/>
          <w:spacing w:val="-2"/>
          <w:sz w:val="28"/>
        </w:rPr>
        <w:t>0,9, то мощность на входе СЦ</w:t>
      </w:r>
      <w:proofErr w:type="gramStart"/>
      <w:r>
        <w:rPr>
          <w:color w:val="000000"/>
          <w:spacing w:val="-2"/>
          <w:sz w:val="28"/>
        </w:rPr>
        <w:t>1</w:t>
      </w:r>
      <w:proofErr w:type="gramEnd"/>
      <w:r>
        <w:rPr>
          <w:color w:val="000000"/>
          <w:spacing w:val="-2"/>
          <w:sz w:val="28"/>
        </w:rPr>
        <w:t xml:space="preserve"> </w:t>
      </w:r>
      <w:r w:rsidRPr="00A24A67">
        <w:rPr>
          <w:color w:val="000000"/>
          <w:spacing w:val="-2"/>
          <w:position w:val="-18"/>
          <w:sz w:val="28"/>
        </w:rPr>
        <w:object w:dxaOrig="820" w:dyaOrig="480">
          <v:shape id="_x0000_i1044" type="#_x0000_t75" style="width:41.25pt;height:24pt" o:ole="" fillcolor="window">
            <v:imagedata r:id="rId45" o:title=""/>
          </v:shape>
          <o:OLEObject Type="Embed" ProgID="Equation.3" ShapeID="_x0000_i1044" DrawAspect="Content" ObjectID="_1505552433" r:id="rId46"/>
        </w:object>
      </w:r>
      <w:r>
        <w:rPr>
          <w:color w:val="000000"/>
          <w:spacing w:val="-2"/>
          <w:sz w:val="28"/>
        </w:rPr>
        <w:t xml:space="preserve"> равна:</w:t>
      </w:r>
    </w:p>
    <w:p w:rsidR="007F59B7" w:rsidRPr="007F59B7" w:rsidRDefault="007F59B7" w:rsidP="007F59B7">
      <w:pPr>
        <w:shd w:val="clear" w:color="auto" w:fill="FFFFFF"/>
        <w:spacing w:line="360" w:lineRule="auto"/>
        <w:ind w:firstLine="709"/>
        <w:jc w:val="center"/>
        <w:rPr>
          <w:sz w:val="28"/>
        </w:rPr>
      </w:pPr>
      <w:r w:rsidRPr="00A24A67">
        <w:rPr>
          <w:position w:val="-38"/>
        </w:rPr>
        <w:object w:dxaOrig="4980" w:dyaOrig="880">
          <v:shape id="_x0000_i1045" type="#_x0000_t75" style="width:249pt;height:44.25pt" o:ole="" fillcolor="window">
            <v:imagedata r:id="rId47" o:title=""/>
          </v:shape>
          <o:OLEObject Type="Embed" ProgID="Equation.3" ShapeID="_x0000_i1045" DrawAspect="Content" ObjectID="_1505552434" r:id="rId48"/>
        </w:object>
      </w:r>
      <w:r>
        <w:t xml:space="preserve"> </w:t>
      </w:r>
      <w:r>
        <w:rPr>
          <w:sz w:val="28"/>
        </w:rPr>
        <w:t>мВт.</w:t>
      </w:r>
    </w:p>
    <w:p w:rsidR="007F59B7" w:rsidRDefault="007F59B7" w:rsidP="007F59B7">
      <w:pPr>
        <w:spacing w:line="360" w:lineRule="auto"/>
        <w:ind w:firstLine="709"/>
        <w:jc w:val="both"/>
        <w:rPr>
          <w:rFonts w:cs="Times New Roman"/>
          <w:spacing w:val="20"/>
          <w:sz w:val="28"/>
          <w:szCs w:val="28"/>
        </w:rPr>
      </w:pPr>
    </w:p>
    <w:p w:rsidR="007F59B7" w:rsidRDefault="007F59B7" w:rsidP="007F59B7">
      <w:pPr>
        <w:spacing w:line="360" w:lineRule="auto"/>
        <w:ind w:firstLine="709"/>
        <w:jc w:val="both"/>
        <w:rPr>
          <w:rFonts w:cs="Times New Roman"/>
          <w:spacing w:val="20"/>
          <w:sz w:val="28"/>
          <w:szCs w:val="28"/>
        </w:rPr>
      </w:pPr>
    </w:p>
    <w:p w:rsidR="007F59B7" w:rsidRDefault="007F59B7" w:rsidP="007F59B7">
      <w:pPr>
        <w:spacing w:line="360" w:lineRule="auto"/>
        <w:ind w:firstLine="709"/>
        <w:jc w:val="both"/>
        <w:rPr>
          <w:rFonts w:cs="Times New Roman"/>
          <w:spacing w:val="20"/>
          <w:sz w:val="28"/>
          <w:szCs w:val="28"/>
        </w:rPr>
      </w:pPr>
    </w:p>
    <w:p w:rsidR="007F59B7" w:rsidRDefault="007F59B7" w:rsidP="007F59B7">
      <w:pPr>
        <w:spacing w:line="360" w:lineRule="auto"/>
        <w:ind w:firstLine="709"/>
        <w:jc w:val="both"/>
        <w:rPr>
          <w:rFonts w:cs="Times New Roman"/>
          <w:spacing w:val="20"/>
          <w:sz w:val="28"/>
          <w:szCs w:val="28"/>
        </w:rPr>
      </w:pPr>
    </w:p>
    <w:p w:rsidR="007F59B7" w:rsidRDefault="007F59B7" w:rsidP="007F59B7">
      <w:pPr>
        <w:spacing w:line="360" w:lineRule="auto"/>
        <w:ind w:firstLine="709"/>
        <w:jc w:val="both"/>
        <w:rPr>
          <w:rFonts w:cs="Times New Roman"/>
          <w:spacing w:val="20"/>
          <w:sz w:val="28"/>
          <w:szCs w:val="28"/>
        </w:rPr>
      </w:pPr>
      <w:r w:rsidRPr="00E41F77">
        <w:rPr>
          <w:rFonts w:cs="Times New Roman"/>
          <w:spacing w:val="20"/>
          <w:sz w:val="28"/>
          <w:szCs w:val="28"/>
        </w:rPr>
        <w:t>5.2 Разработка мероприятий по повышению надежности и безопасности АФАР</w:t>
      </w:r>
    </w:p>
    <w:p w:rsidR="007F59B7" w:rsidRPr="00E41F77" w:rsidRDefault="007F59B7" w:rsidP="007F59B7">
      <w:pPr>
        <w:spacing w:line="360" w:lineRule="auto"/>
        <w:jc w:val="center"/>
        <w:rPr>
          <w:rFonts w:cs="Times New Roman"/>
          <w:spacing w:val="20"/>
          <w:sz w:val="28"/>
          <w:szCs w:val="28"/>
        </w:rPr>
      </w:pPr>
    </w:p>
    <w:p w:rsidR="007F59B7" w:rsidRPr="00E94685" w:rsidRDefault="007F59B7" w:rsidP="007F59B7">
      <w:pPr>
        <w:spacing w:line="360" w:lineRule="auto"/>
        <w:ind w:firstLine="708"/>
        <w:jc w:val="both"/>
        <w:rPr>
          <w:rFonts w:eastAsia="TimesNewRoman,Bold" w:cs="Times New Roman"/>
          <w:bCs/>
          <w:sz w:val="28"/>
          <w:szCs w:val="28"/>
        </w:rPr>
      </w:pPr>
      <w:r w:rsidRPr="00E94685">
        <w:rPr>
          <w:rFonts w:eastAsia="TimesNewRoman,Bold" w:cs="Times New Roman"/>
          <w:bCs/>
          <w:sz w:val="28"/>
          <w:szCs w:val="28"/>
        </w:rPr>
        <w:t>Приступая к определению мер</w:t>
      </w:r>
      <w:r>
        <w:rPr>
          <w:rFonts w:eastAsia="TimesNewRoman,Bold" w:cs="Times New Roman"/>
          <w:bCs/>
          <w:sz w:val="28"/>
          <w:szCs w:val="28"/>
        </w:rPr>
        <w:t>,</w:t>
      </w:r>
      <w:r w:rsidRPr="00E94685">
        <w:rPr>
          <w:rFonts w:eastAsia="TimesNewRoman,Bold" w:cs="Times New Roman"/>
          <w:bCs/>
          <w:sz w:val="28"/>
          <w:szCs w:val="28"/>
        </w:rPr>
        <w:t xml:space="preserve"> необходимых для обеспечения работоспособности устройства, следует строго придерживаться правил безопасности труда. Несоблюдение этих правил может привести к поражению электрическим током. Во всех случаях работы с включенным устройством (настройка, регулировка, изменение режимов, нахождение плохих контактов) необходимо пользоваться инструментом с хорошо изолированными ручками.</w:t>
      </w:r>
    </w:p>
    <w:p w:rsidR="007F59B7" w:rsidRPr="00E94685" w:rsidRDefault="007F59B7" w:rsidP="007F59B7">
      <w:pPr>
        <w:spacing w:line="360" w:lineRule="auto"/>
        <w:ind w:firstLine="708"/>
        <w:jc w:val="both"/>
        <w:rPr>
          <w:rFonts w:cs="Times New Roman"/>
          <w:sz w:val="28"/>
          <w:szCs w:val="28"/>
        </w:rPr>
      </w:pPr>
      <w:r>
        <w:rPr>
          <w:rFonts w:cs="Times New Roman"/>
          <w:sz w:val="28"/>
          <w:szCs w:val="28"/>
        </w:rPr>
        <w:t>Работая с антенной решеткой</w:t>
      </w:r>
      <w:r w:rsidRPr="00E94685">
        <w:rPr>
          <w:rFonts w:cs="Times New Roman"/>
          <w:sz w:val="28"/>
          <w:szCs w:val="28"/>
        </w:rPr>
        <w:t>, необходимо соблюдать правила безопасности, как и при работе с любыми электроприборами. Перед установкой проверяется исправность защитного заземления. Убеждаемся, что значение напряжения сети переменного тока соответствует требуемому, во избежание выхода усилителя из строя следует использовать адаптер питания</w:t>
      </w:r>
      <w:r>
        <w:rPr>
          <w:rFonts w:cs="Times New Roman"/>
          <w:sz w:val="28"/>
          <w:szCs w:val="28"/>
        </w:rPr>
        <w:t>,</w:t>
      </w:r>
      <w:r w:rsidRPr="00E94685">
        <w:rPr>
          <w:rFonts w:cs="Times New Roman"/>
          <w:sz w:val="28"/>
          <w:szCs w:val="28"/>
        </w:rPr>
        <w:t xml:space="preserve"> обеспечивающий постоянное напряжение +16</w:t>
      </w:r>
      <w:proofErr w:type="gramStart"/>
      <w:r w:rsidRPr="00E94685">
        <w:rPr>
          <w:rFonts w:cs="Times New Roman"/>
          <w:sz w:val="28"/>
          <w:szCs w:val="28"/>
        </w:rPr>
        <w:t xml:space="preserve"> В</w:t>
      </w:r>
      <w:proofErr w:type="gramEnd"/>
      <w:r w:rsidRPr="00E94685">
        <w:rPr>
          <w:rFonts w:cs="Times New Roman"/>
          <w:sz w:val="28"/>
          <w:szCs w:val="28"/>
        </w:rPr>
        <w:t xml:space="preserve"> и ток до 100 мА. Ни в коем случае нельзя вскрывать усилитель, дотрагиваться до разъёмов радиочастотных кабелей при включённом электропитании, это может привести к </w:t>
      </w:r>
      <w:proofErr w:type="spellStart"/>
      <w:r w:rsidRPr="00E94685">
        <w:rPr>
          <w:rFonts w:cs="Times New Roman"/>
          <w:sz w:val="28"/>
          <w:szCs w:val="28"/>
        </w:rPr>
        <w:t>электротравмам</w:t>
      </w:r>
      <w:proofErr w:type="spellEnd"/>
      <w:r w:rsidRPr="00E94685">
        <w:rPr>
          <w:rFonts w:cs="Times New Roman"/>
          <w:sz w:val="28"/>
          <w:szCs w:val="28"/>
        </w:rPr>
        <w:t xml:space="preserve"> и поломке прибора.</w:t>
      </w:r>
    </w:p>
    <w:p w:rsidR="007F59B7" w:rsidRPr="00E94685" w:rsidRDefault="007F59B7" w:rsidP="007F59B7">
      <w:pPr>
        <w:spacing w:line="360" w:lineRule="auto"/>
        <w:ind w:firstLine="709"/>
        <w:jc w:val="both"/>
        <w:rPr>
          <w:rFonts w:cs="Times New Roman"/>
          <w:sz w:val="28"/>
          <w:szCs w:val="28"/>
        </w:rPr>
      </w:pPr>
      <w:r w:rsidRPr="00E94685">
        <w:rPr>
          <w:rFonts w:cs="Times New Roman"/>
          <w:sz w:val="28"/>
          <w:szCs w:val="28"/>
        </w:rPr>
        <w:t>Так как усилитель является еще и СВЧ устройством, при работе с ним нужно соблюдать соответствующие правила техники безопасности.</w:t>
      </w:r>
    </w:p>
    <w:p w:rsidR="007F59B7" w:rsidRPr="00E94685" w:rsidRDefault="007F59B7" w:rsidP="007F59B7">
      <w:pPr>
        <w:spacing w:line="360" w:lineRule="auto"/>
        <w:ind w:firstLine="709"/>
        <w:rPr>
          <w:rFonts w:cs="Times New Roman"/>
          <w:color w:val="000000"/>
          <w:sz w:val="28"/>
          <w:szCs w:val="28"/>
        </w:rPr>
      </w:pPr>
      <w:r w:rsidRPr="00E94685">
        <w:rPr>
          <w:rFonts w:cs="Times New Roman"/>
          <w:color w:val="000000"/>
          <w:sz w:val="28"/>
          <w:szCs w:val="28"/>
        </w:rPr>
        <w:t>Интенсивность СВЧ излучения оценивают по величине энергии, падающей в 1 с</w:t>
      </w:r>
      <w:r>
        <w:rPr>
          <w:rFonts w:cs="Times New Roman"/>
          <w:color w:val="000000"/>
          <w:sz w:val="28"/>
          <w:szCs w:val="28"/>
        </w:rPr>
        <w:t>.</w:t>
      </w:r>
      <w:r w:rsidRPr="00E94685">
        <w:rPr>
          <w:rFonts w:cs="Times New Roman"/>
          <w:color w:val="000000"/>
          <w:sz w:val="28"/>
          <w:szCs w:val="28"/>
        </w:rPr>
        <w:t xml:space="preserve"> на перпендикулярно распо</w:t>
      </w:r>
      <w:r w:rsidRPr="00E94685">
        <w:rPr>
          <w:rFonts w:cs="Times New Roman"/>
          <w:color w:val="000000"/>
          <w:sz w:val="28"/>
          <w:szCs w:val="28"/>
        </w:rPr>
        <w:softHyphen/>
        <w:t>ложенную поверхность площадью    1 см. Для микро</w:t>
      </w:r>
      <w:r w:rsidRPr="00E94685">
        <w:rPr>
          <w:rFonts w:cs="Times New Roman"/>
          <w:color w:val="000000"/>
          <w:sz w:val="28"/>
          <w:szCs w:val="28"/>
        </w:rPr>
        <w:softHyphen/>
        <w:t>волн соответствующая величина называется плотностью потока энергии (ППЭ). Измеряется ППЭ в ваттах на 1 см</w:t>
      </w:r>
      <w:proofErr w:type="gramStart"/>
      <w:r w:rsidRPr="00E94685">
        <w:rPr>
          <w:rFonts w:cs="Times New Roman"/>
          <w:color w:val="000000"/>
          <w:sz w:val="28"/>
          <w:szCs w:val="28"/>
          <w:vertAlign w:val="superscript"/>
        </w:rPr>
        <w:t>2</w:t>
      </w:r>
      <w:proofErr w:type="gramEnd"/>
      <w:r w:rsidRPr="00E94685">
        <w:rPr>
          <w:rStyle w:val="apple-converted-space"/>
          <w:rFonts w:cs="Times New Roman"/>
          <w:color w:val="000000"/>
          <w:sz w:val="28"/>
          <w:szCs w:val="28"/>
        </w:rPr>
        <w:t> </w:t>
      </w:r>
      <w:r w:rsidRPr="00E94685">
        <w:rPr>
          <w:rFonts w:cs="Times New Roman"/>
          <w:color w:val="000000"/>
          <w:sz w:val="28"/>
          <w:szCs w:val="28"/>
        </w:rPr>
        <w:t>(Вт/см</w:t>
      </w:r>
      <w:r w:rsidRPr="00E94685">
        <w:rPr>
          <w:rFonts w:cs="Times New Roman"/>
          <w:color w:val="000000"/>
          <w:sz w:val="28"/>
          <w:szCs w:val="28"/>
          <w:vertAlign w:val="superscript"/>
        </w:rPr>
        <w:t>2</w:t>
      </w:r>
      <w:r w:rsidRPr="00E94685">
        <w:rPr>
          <w:rFonts w:cs="Times New Roman"/>
          <w:color w:val="000000"/>
          <w:sz w:val="28"/>
          <w:szCs w:val="28"/>
        </w:rPr>
        <w:t>) или в производных единицах. Для СВЧ</w:t>
      </w:r>
      <w:r>
        <w:rPr>
          <w:rFonts w:eastAsia="TimesNewRoman,Bold" w:cs="Times New Roman"/>
          <w:bCs/>
          <w:sz w:val="28"/>
          <w:szCs w:val="28"/>
        </w:rPr>
        <w:t>–</w:t>
      </w:r>
      <w:r w:rsidRPr="00E94685">
        <w:rPr>
          <w:rFonts w:cs="Times New Roman"/>
          <w:color w:val="000000"/>
          <w:sz w:val="28"/>
          <w:szCs w:val="28"/>
        </w:rPr>
        <w:t>поля пороговой величиной облучения, ниже кото</w:t>
      </w:r>
      <w:r w:rsidRPr="00E94685">
        <w:rPr>
          <w:rFonts w:cs="Times New Roman"/>
          <w:color w:val="000000"/>
          <w:sz w:val="28"/>
          <w:szCs w:val="28"/>
        </w:rPr>
        <w:softHyphen/>
        <w:t>рой не наблюдается местного или общего</w:t>
      </w:r>
      <w:r>
        <w:rPr>
          <w:rFonts w:cs="Times New Roman"/>
          <w:color w:val="000000"/>
          <w:sz w:val="28"/>
          <w:szCs w:val="28"/>
        </w:rPr>
        <w:t xml:space="preserve"> нагревания, является ППЭ, </w:t>
      </w:r>
      <w:bookmarkStart w:id="0" w:name="_GoBack"/>
      <w:bookmarkEnd w:id="0"/>
      <w:r w:rsidRPr="00E94685">
        <w:rPr>
          <w:rFonts w:cs="Times New Roman"/>
          <w:color w:val="000000"/>
          <w:sz w:val="28"/>
          <w:szCs w:val="28"/>
        </w:rPr>
        <w:t xml:space="preserve">равная </w:t>
      </w:r>
      <w:r w:rsidRPr="00E94685">
        <w:rPr>
          <w:rFonts w:cs="Times New Roman"/>
          <w:color w:val="000000"/>
          <w:sz w:val="28"/>
          <w:szCs w:val="28"/>
        </w:rPr>
        <w:br/>
      </w:r>
      <w:r w:rsidRPr="00E94685">
        <w:rPr>
          <w:rFonts w:cs="Times New Roman"/>
          <w:color w:val="000000"/>
          <w:sz w:val="28"/>
          <w:szCs w:val="28"/>
        </w:rPr>
        <w:lastRenderedPageBreak/>
        <w:t>10 мВт/см</w:t>
      </w:r>
      <w:proofErr w:type="gramStart"/>
      <w:r w:rsidRPr="00E94685">
        <w:rPr>
          <w:rFonts w:cs="Times New Roman"/>
          <w:color w:val="000000"/>
          <w:sz w:val="28"/>
          <w:szCs w:val="28"/>
          <w:vertAlign w:val="superscript"/>
        </w:rPr>
        <w:t>2</w:t>
      </w:r>
      <w:proofErr w:type="gramEnd"/>
      <w:r w:rsidRPr="00E94685">
        <w:rPr>
          <w:rFonts w:cs="Times New Roman"/>
          <w:color w:val="000000"/>
          <w:sz w:val="28"/>
          <w:szCs w:val="28"/>
        </w:rPr>
        <w:t>. Соответственно этому</w:t>
      </w:r>
      <w:r>
        <w:rPr>
          <w:rFonts w:cs="Times New Roman"/>
          <w:color w:val="000000"/>
          <w:sz w:val="28"/>
          <w:szCs w:val="28"/>
        </w:rPr>
        <w:t>,</w:t>
      </w:r>
      <w:r w:rsidRPr="00E94685">
        <w:rPr>
          <w:rFonts w:cs="Times New Roman"/>
          <w:color w:val="000000"/>
          <w:sz w:val="28"/>
          <w:szCs w:val="28"/>
        </w:rPr>
        <w:t xml:space="preserve"> интенсивности облучения, превышающие 10 мВт/см</w:t>
      </w:r>
      <w:proofErr w:type="gramStart"/>
      <w:r w:rsidRPr="00E94685">
        <w:rPr>
          <w:rFonts w:cs="Times New Roman"/>
          <w:color w:val="000000"/>
          <w:sz w:val="28"/>
          <w:szCs w:val="28"/>
          <w:vertAlign w:val="superscript"/>
        </w:rPr>
        <w:t>2</w:t>
      </w:r>
      <w:proofErr w:type="gramEnd"/>
      <w:r w:rsidRPr="00E94685">
        <w:rPr>
          <w:rFonts w:cs="Times New Roman"/>
          <w:color w:val="000000"/>
          <w:sz w:val="28"/>
          <w:szCs w:val="28"/>
        </w:rPr>
        <w:t>, называются термическими, или тепловыми, мень</w:t>
      </w:r>
      <w:r w:rsidRPr="00E94685">
        <w:rPr>
          <w:rFonts w:cs="Times New Roman"/>
          <w:color w:val="000000"/>
          <w:sz w:val="28"/>
          <w:szCs w:val="28"/>
        </w:rPr>
        <w:softHyphen/>
        <w:t xml:space="preserve">шие уровни </w:t>
      </w:r>
      <w:r>
        <w:rPr>
          <w:rFonts w:eastAsia="TimesNewRoman,Bold" w:cs="Times New Roman"/>
          <w:bCs/>
          <w:sz w:val="28"/>
          <w:szCs w:val="28"/>
        </w:rPr>
        <w:t>–</w:t>
      </w:r>
      <w:r w:rsidRPr="00E94685">
        <w:rPr>
          <w:rFonts w:cs="Times New Roman"/>
          <w:color w:val="000000"/>
          <w:sz w:val="28"/>
          <w:szCs w:val="28"/>
        </w:rPr>
        <w:t xml:space="preserve"> </w:t>
      </w:r>
      <w:proofErr w:type="spellStart"/>
      <w:r w:rsidRPr="00E94685">
        <w:rPr>
          <w:rFonts w:cs="Times New Roman"/>
          <w:color w:val="000000"/>
          <w:sz w:val="28"/>
          <w:szCs w:val="28"/>
        </w:rPr>
        <w:t>субтермическими</w:t>
      </w:r>
      <w:proofErr w:type="spellEnd"/>
      <w:r w:rsidRPr="00E94685">
        <w:rPr>
          <w:rFonts w:cs="Times New Roman"/>
          <w:color w:val="000000"/>
          <w:sz w:val="28"/>
          <w:szCs w:val="28"/>
        </w:rPr>
        <w:t>, или нетепловыми.</w:t>
      </w:r>
    </w:p>
    <w:p w:rsidR="007F59B7" w:rsidRPr="00E94685" w:rsidRDefault="007F59B7" w:rsidP="007F59B7">
      <w:pPr>
        <w:pStyle w:val="a5"/>
        <w:spacing w:before="225" w:beforeAutospacing="0" w:line="360" w:lineRule="auto"/>
        <w:ind w:right="225" w:firstLine="708"/>
        <w:jc w:val="both"/>
        <w:rPr>
          <w:color w:val="000000"/>
          <w:sz w:val="28"/>
          <w:szCs w:val="28"/>
        </w:rPr>
      </w:pPr>
      <w:r w:rsidRPr="00E94685">
        <w:rPr>
          <w:color w:val="000000"/>
          <w:sz w:val="28"/>
          <w:szCs w:val="28"/>
        </w:rPr>
        <w:t>Биологическое действие радиоволн СВЧ</w:t>
      </w:r>
      <w:r>
        <w:rPr>
          <w:rFonts w:eastAsia="TimesNewRoman,Bold"/>
          <w:bCs/>
          <w:sz w:val="28"/>
          <w:szCs w:val="28"/>
        </w:rPr>
        <w:t>–</w:t>
      </w:r>
      <w:r w:rsidRPr="00E94685">
        <w:rPr>
          <w:color w:val="000000"/>
          <w:sz w:val="28"/>
          <w:szCs w:val="28"/>
        </w:rPr>
        <w:t>диапазона обусловлено их проникающей способностью и из</w:t>
      </w:r>
      <w:r w:rsidRPr="00E94685">
        <w:rPr>
          <w:color w:val="000000"/>
          <w:sz w:val="28"/>
          <w:szCs w:val="28"/>
        </w:rPr>
        <w:softHyphen/>
        <w:t>бирательным взаимодействием с тканями, временем воздействия и мощностью излучения, а также разме</w:t>
      </w:r>
      <w:r w:rsidRPr="00E94685">
        <w:rPr>
          <w:color w:val="000000"/>
          <w:sz w:val="28"/>
          <w:szCs w:val="28"/>
        </w:rPr>
        <w:softHyphen/>
        <w:t>рами облучаемой поверхности</w:t>
      </w:r>
      <w:r>
        <w:rPr>
          <w:color w:val="000000"/>
          <w:sz w:val="28"/>
          <w:szCs w:val="28"/>
        </w:rPr>
        <w:t>…</w:t>
      </w:r>
    </w:p>
    <w:p w:rsidR="003006C2" w:rsidRDefault="003006C2"/>
    <w:sectPr w:rsidR="003006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388"/>
    <w:rsid w:val="003006C2"/>
    <w:rsid w:val="007F59B7"/>
    <w:rsid w:val="00AB53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9B7"/>
    <w:pPr>
      <w:widowControl w:val="0"/>
      <w:suppressAutoHyphens/>
      <w:spacing w:after="0" w:line="240" w:lineRule="auto"/>
    </w:pPr>
    <w:rPr>
      <w:rFonts w:ascii="Times New Roman" w:eastAsia="SimSun" w:hAnsi="Times New Roman" w:cs="Mangal"/>
      <w:kern w:val="1"/>
      <w:sz w:val="24"/>
      <w:szCs w:val="24"/>
      <w:lang w:eastAsia="zh-CN" w:bidi="hi-IN"/>
    </w:rPr>
  </w:style>
  <w:style w:type="paragraph" w:styleId="2">
    <w:name w:val="heading 2"/>
    <w:basedOn w:val="a"/>
    <w:next w:val="a"/>
    <w:link w:val="20"/>
    <w:uiPriority w:val="9"/>
    <w:semiHidden/>
    <w:unhideWhenUsed/>
    <w:qFormat/>
    <w:rsid w:val="007F59B7"/>
    <w:pPr>
      <w:keepNext/>
      <w:keepLines/>
      <w:spacing w:before="200"/>
      <w:outlineLvl w:val="1"/>
    </w:pPr>
    <w:rPr>
      <w:rFonts w:ascii="Cambria" w:eastAsia="Times New Roman" w:hAnsi="Cambria"/>
      <w:b/>
      <w:bCs/>
      <w:color w:val="4F81BD"/>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7F59B7"/>
    <w:rPr>
      <w:rFonts w:ascii="Cambria" w:eastAsia="Times New Roman" w:hAnsi="Cambria" w:cs="Mangal"/>
      <w:b/>
      <w:bCs/>
      <w:color w:val="4F81BD"/>
      <w:kern w:val="1"/>
      <w:sz w:val="26"/>
      <w:szCs w:val="23"/>
      <w:lang w:eastAsia="zh-CN" w:bidi="hi-IN"/>
    </w:rPr>
  </w:style>
  <w:style w:type="paragraph" w:styleId="a3">
    <w:name w:val="Balloon Text"/>
    <w:basedOn w:val="a"/>
    <w:link w:val="a4"/>
    <w:uiPriority w:val="99"/>
    <w:semiHidden/>
    <w:unhideWhenUsed/>
    <w:rsid w:val="007F59B7"/>
    <w:rPr>
      <w:rFonts w:ascii="Tahoma" w:hAnsi="Tahoma"/>
      <w:sz w:val="16"/>
      <w:szCs w:val="14"/>
    </w:rPr>
  </w:style>
  <w:style w:type="character" w:customStyle="1" w:styleId="a4">
    <w:name w:val="Текст выноски Знак"/>
    <w:basedOn w:val="a0"/>
    <w:link w:val="a3"/>
    <w:uiPriority w:val="99"/>
    <w:semiHidden/>
    <w:rsid w:val="007F59B7"/>
    <w:rPr>
      <w:rFonts w:ascii="Tahoma" w:eastAsia="SimSun" w:hAnsi="Tahoma" w:cs="Mangal"/>
      <w:kern w:val="1"/>
      <w:sz w:val="16"/>
      <w:szCs w:val="14"/>
      <w:lang w:eastAsia="zh-CN" w:bidi="hi-IN"/>
    </w:rPr>
  </w:style>
  <w:style w:type="paragraph" w:styleId="a5">
    <w:name w:val="Normal (Web)"/>
    <w:basedOn w:val="a"/>
    <w:uiPriority w:val="99"/>
    <w:unhideWhenUsed/>
    <w:rsid w:val="007F59B7"/>
    <w:pPr>
      <w:widowControl/>
      <w:suppressAutoHyphens w:val="0"/>
      <w:spacing w:before="100" w:beforeAutospacing="1" w:after="100" w:afterAutospacing="1"/>
    </w:pPr>
    <w:rPr>
      <w:rFonts w:eastAsia="Times New Roman" w:cs="Times New Roman"/>
      <w:kern w:val="0"/>
      <w:lang w:eastAsia="ru-RU" w:bidi="ar-SA"/>
    </w:rPr>
  </w:style>
  <w:style w:type="character" w:customStyle="1" w:styleId="apple-converted-space">
    <w:name w:val="apple-converted-space"/>
    <w:basedOn w:val="a0"/>
    <w:rsid w:val="007F59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9B7"/>
    <w:pPr>
      <w:widowControl w:val="0"/>
      <w:suppressAutoHyphens/>
      <w:spacing w:after="0" w:line="240" w:lineRule="auto"/>
    </w:pPr>
    <w:rPr>
      <w:rFonts w:ascii="Times New Roman" w:eastAsia="SimSun" w:hAnsi="Times New Roman" w:cs="Mangal"/>
      <w:kern w:val="1"/>
      <w:sz w:val="24"/>
      <w:szCs w:val="24"/>
      <w:lang w:eastAsia="zh-CN" w:bidi="hi-IN"/>
    </w:rPr>
  </w:style>
  <w:style w:type="paragraph" w:styleId="2">
    <w:name w:val="heading 2"/>
    <w:basedOn w:val="a"/>
    <w:next w:val="a"/>
    <w:link w:val="20"/>
    <w:uiPriority w:val="9"/>
    <w:semiHidden/>
    <w:unhideWhenUsed/>
    <w:qFormat/>
    <w:rsid w:val="007F59B7"/>
    <w:pPr>
      <w:keepNext/>
      <w:keepLines/>
      <w:spacing w:before="200"/>
      <w:outlineLvl w:val="1"/>
    </w:pPr>
    <w:rPr>
      <w:rFonts w:ascii="Cambria" w:eastAsia="Times New Roman" w:hAnsi="Cambria"/>
      <w:b/>
      <w:bCs/>
      <w:color w:val="4F81BD"/>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7F59B7"/>
    <w:rPr>
      <w:rFonts w:ascii="Cambria" w:eastAsia="Times New Roman" w:hAnsi="Cambria" w:cs="Mangal"/>
      <w:b/>
      <w:bCs/>
      <w:color w:val="4F81BD"/>
      <w:kern w:val="1"/>
      <w:sz w:val="26"/>
      <w:szCs w:val="23"/>
      <w:lang w:eastAsia="zh-CN" w:bidi="hi-IN"/>
    </w:rPr>
  </w:style>
  <w:style w:type="paragraph" w:styleId="a3">
    <w:name w:val="Balloon Text"/>
    <w:basedOn w:val="a"/>
    <w:link w:val="a4"/>
    <w:uiPriority w:val="99"/>
    <w:semiHidden/>
    <w:unhideWhenUsed/>
    <w:rsid w:val="007F59B7"/>
    <w:rPr>
      <w:rFonts w:ascii="Tahoma" w:hAnsi="Tahoma"/>
      <w:sz w:val="16"/>
      <w:szCs w:val="14"/>
    </w:rPr>
  </w:style>
  <w:style w:type="character" w:customStyle="1" w:styleId="a4">
    <w:name w:val="Текст выноски Знак"/>
    <w:basedOn w:val="a0"/>
    <w:link w:val="a3"/>
    <w:uiPriority w:val="99"/>
    <w:semiHidden/>
    <w:rsid w:val="007F59B7"/>
    <w:rPr>
      <w:rFonts w:ascii="Tahoma" w:eastAsia="SimSun" w:hAnsi="Tahoma" w:cs="Mangal"/>
      <w:kern w:val="1"/>
      <w:sz w:val="16"/>
      <w:szCs w:val="14"/>
      <w:lang w:eastAsia="zh-CN" w:bidi="hi-IN"/>
    </w:rPr>
  </w:style>
  <w:style w:type="paragraph" w:styleId="a5">
    <w:name w:val="Normal (Web)"/>
    <w:basedOn w:val="a"/>
    <w:uiPriority w:val="99"/>
    <w:unhideWhenUsed/>
    <w:rsid w:val="007F59B7"/>
    <w:pPr>
      <w:widowControl/>
      <w:suppressAutoHyphens w:val="0"/>
      <w:spacing w:before="100" w:beforeAutospacing="1" w:after="100" w:afterAutospacing="1"/>
    </w:pPr>
    <w:rPr>
      <w:rFonts w:eastAsia="Times New Roman" w:cs="Times New Roman"/>
      <w:kern w:val="0"/>
      <w:lang w:eastAsia="ru-RU" w:bidi="ar-SA"/>
    </w:rPr>
  </w:style>
  <w:style w:type="character" w:customStyle="1" w:styleId="apple-converted-space">
    <w:name w:val="apple-converted-space"/>
    <w:basedOn w:val="a0"/>
    <w:rsid w:val="007F5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8.jpeg"/><Relationship Id="rId26" Type="http://schemas.openxmlformats.org/officeDocument/2006/relationships/oleObject" Target="embeddings/oleObject10.bin"/><Relationship Id="rId39" Type="http://schemas.openxmlformats.org/officeDocument/2006/relationships/image" Target="media/image19.wmf"/><Relationship Id="rId21" Type="http://schemas.openxmlformats.org/officeDocument/2006/relationships/image" Target="media/image10.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3.wmf"/><Relationship Id="rId50" Type="http://schemas.openxmlformats.org/officeDocument/2006/relationships/theme" Target="theme/theme1.xml"/><Relationship Id="rId7" Type="http://schemas.openxmlformats.org/officeDocument/2006/relationships/oleObject" Target="embeddings/oleObject1.bin"/><Relationship Id="rId2" Type="http://schemas.microsoft.com/office/2007/relationships/stylesWithEffects" Target="stylesWithEffects.xml"/><Relationship Id="rId16" Type="http://schemas.openxmlformats.org/officeDocument/2006/relationships/image" Target="media/image7.wmf"/><Relationship Id="rId29" Type="http://schemas.openxmlformats.org/officeDocument/2006/relationships/image" Target="media/image14.wmf"/><Relationship Id="rId11" Type="http://schemas.openxmlformats.org/officeDocument/2006/relationships/oleObject" Target="embeddings/oleObject3.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8.wmf"/><Relationship Id="rId40" Type="http://schemas.openxmlformats.org/officeDocument/2006/relationships/oleObject" Target="embeddings/oleObject17.bin"/><Relationship Id="rId45" Type="http://schemas.openxmlformats.org/officeDocument/2006/relationships/image" Target="media/image22.wmf"/><Relationship Id="rId5" Type="http://schemas.openxmlformats.org/officeDocument/2006/relationships/image" Target="media/image1.jpeg"/><Relationship Id="rId15" Type="http://schemas.openxmlformats.org/officeDocument/2006/relationships/oleObject" Target="embeddings/oleObject5.bin"/><Relationship Id="rId23" Type="http://schemas.openxmlformats.org/officeDocument/2006/relationships/image" Target="media/image11.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fontTable" Target="fontTable.xml"/><Relationship Id="rId10" Type="http://schemas.openxmlformats.org/officeDocument/2006/relationships/image" Target="media/image4.wmf"/><Relationship Id="rId19" Type="http://schemas.openxmlformats.org/officeDocument/2006/relationships/image" Target="media/image9.wmf"/><Relationship Id="rId31" Type="http://schemas.openxmlformats.org/officeDocument/2006/relationships/image" Target="media/image15.wmf"/><Relationship Id="rId44" Type="http://schemas.openxmlformats.org/officeDocument/2006/relationships/oleObject" Target="embeddings/oleObject19.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oleObject" Target="embeddings/oleObject8.bin"/><Relationship Id="rId27" Type="http://schemas.openxmlformats.org/officeDocument/2006/relationships/image" Target="media/image13.wmf"/><Relationship Id="rId30" Type="http://schemas.openxmlformats.org/officeDocument/2006/relationships/oleObject" Target="embeddings/oleObject12.bin"/><Relationship Id="rId35" Type="http://schemas.openxmlformats.org/officeDocument/2006/relationships/image" Target="media/image17.wmf"/><Relationship Id="rId43" Type="http://schemas.openxmlformats.org/officeDocument/2006/relationships/image" Target="media/image21.wmf"/><Relationship Id="rId48" Type="http://schemas.openxmlformats.org/officeDocument/2006/relationships/oleObject" Target="embeddings/oleObject21.bin"/><Relationship Id="rId8" Type="http://schemas.openxmlformats.org/officeDocument/2006/relationships/image" Target="media/image3.wmf"/><Relationship Id="rId3" Type="http://schemas.openxmlformats.org/officeDocument/2006/relationships/settings" Target="settings.xml"/><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oleObject" Target="embeddings/oleObject16.bin"/><Relationship Id="rId46" Type="http://schemas.openxmlformats.org/officeDocument/2006/relationships/oleObject" Target="embeddings/oleObject20.bin"/><Relationship Id="rId20" Type="http://schemas.openxmlformats.org/officeDocument/2006/relationships/oleObject" Target="embeddings/oleObject7.bin"/><Relationship Id="rId41" Type="http://schemas.openxmlformats.org/officeDocument/2006/relationships/image" Target="media/image20.wmf"/><Relationship Id="rId1" Type="http://schemas.openxmlformats.org/officeDocument/2006/relationships/styles" Target="styles.xml"/><Relationship Id="rId6"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1234</Words>
  <Characters>7037</Characters>
  <Application>Microsoft Office Word</Application>
  <DocSecurity>0</DocSecurity>
  <Lines>58</Lines>
  <Paragraphs>16</Paragraphs>
  <ScaleCrop>false</ScaleCrop>
  <Company>diakov.net</Company>
  <LinksUpToDate>false</LinksUpToDate>
  <CharactersWithSpaces>8255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2015-10-05T08:08:00Z</dcterms:created>
  <dcterms:modified xsi:type="dcterms:W3CDTF">2015-10-05T08:14:00Z</dcterms:modified>
</cp:coreProperties>
</file>