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D2D" w:rsidRDefault="00733D2D" w:rsidP="00733D2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D2D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2E0B82" w:rsidRPr="00733D2D" w:rsidRDefault="002E0B82" w:rsidP="00733D2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3F0B" w:rsidRPr="00B83F0B" w:rsidRDefault="00433704" w:rsidP="00B83F0B">
      <w:pPr>
        <w:pStyle w:val="11"/>
        <w:tabs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r w:rsidRPr="00B83F0B">
        <w:rPr>
          <w:sz w:val="28"/>
          <w:szCs w:val="28"/>
        </w:rPr>
        <w:fldChar w:fldCharType="begin"/>
      </w:r>
      <w:r w:rsidR="002E0B82" w:rsidRPr="00B83F0B">
        <w:rPr>
          <w:sz w:val="28"/>
          <w:szCs w:val="28"/>
        </w:rPr>
        <w:instrText xml:space="preserve"> TOC \o "1-3" \h \z \u </w:instrText>
      </w:r>
      <w:r w:rsidRPr="00B83F0B">
        <w:rPr>
          <w:sz w:val="28"/>
          <w:szCs w:val="28"/>
        </w:rPr>
        <w:fldChar w:fldCharType="separate"/>
      </w:r>
      <w:hyperlink w:anchor="_Toc403055612" w:history="1">
        <w:r w:rsidR="00B83F0B" w:rsidRPr="00B83F0B">
          <w:rPr>
            <w:rStyle w:val="a8"/>
            <w:noProof/>
            <w:sz w:val="28"/>
            <w:szCs w:val="28"/>
          </w:rPr>
          <w:t>Введение</w:t>
        </w:r>
        <w:r w:rsidR="00B83F0B" w:rsidRPr="00B83F0B">
          <w:rPr>
            <w:noProof/>
            <w:webHidden/>
            <w:sz w:val="28"/>
            <w:szCs w:val="28"/>
          </w:rPr>
          <w:tab/>
        </w:r>
        <w:r w:rsidR="00B83F0B" w:rsidRPr="00B83F0B">
          <w:rPr>
            <w:noProof/>
            <w:webHidden/>
            <w:sz w:val="28"/>
            <w:szCs w:val="28"/>
          </w:rPr>
          <w:fldChar w:fldCharType="begin"/>
        </w:r>
        <w:r w:rsidR="00B83F0B" w:rsidRPr="00B83F0B">
          <w:rPr>
            <w:noProof/>
            <w:webHidden/>
            <w:sz w:val="28"/>
            <w:szCs w:val="28"/>
          </w:rPr>
          <w:instrText xml:space="preserve"> PAGEREF _Toc403055612 \h </w:instrText>
        </w:r>
        <w:r w:rsidR="00B83F0B" w:rsidRPr="00B83F0B">
          <w:rPr>
            <w:noProof/>
            <w:webHidden/>
            <w:sz w:val="28"/>
            <w:szCs w:val="28"/>
          </w:rPr>
        </w:r>
        <w:r w:rsidR="00B83F0B" w:rsidRPr="00B83F0B">
          <w:rPr>
            <w:noProof/>
            <w:webHidden/>
            <w:sz w:val="28"/>
            <w:szCs w:val="28"/>
          </w:rPr>
          <w:fldChar w:fldCharType="separate"/>
        </w:r>
        <w:r w:rsidR="00B83F0B" w:rsidRPr="00B83F0B">
          <w:rPr>
            <w:noProof/>
            <w:webHidden/>
            <w:sz w:val="28"/>
            <w:szCs w:val="28"/>
          </w:rPr>
          <w:t>3</w:t>
        </w:r>
        <w:r w:rsidR="00B83F0B" w:rsidRPr="00B83F0B">
          <w:rPr>
            <w:noProof/>
            <w:webHidden/>
            <w:sz w:val="28"/>
            <w:szCs w:val="28"/>
          </w:rPr>
          <w:fldChar w:fldCharType="end"/>
        </w:r>
      </w:hyperlink>
    </w:p>
    <w:p w:rsidR="00B83F0B" w:rsidRPr="00B83F0B" w:rsidRDefault="00B83F0B" w:rsidP="00B83F0B">
      <w:pPr>
        <w:pStyle w:val="11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03055613" w:history="1">
        <w:r w:rsidRPr="00B83F0B">
          <w:rPr>
            <w:rStyle w:val="a8"/>
            <w:noProof/>
            <w:sz w:val="28"/>
            <w:szCs w:val="28"/>
          </w:rPr>
          <w:t>1.</w:t>
        </w:r>
        <w:r w:rsidRPr="00B83F0B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Pr="00B83F0B">
          <w:rPr>
            <w:rStyle w:val="a8"/>
            <w:noProof/>
            <w:sz w:val="28"/>
            <w:szCs w:val="28"/>
          </w:rPr>
          <w:t>Общая характеристика ОАО «АК БАРС»</w:t>
        </w:r>
        <w:r w:rsidRPr="00B83F0B">
          <w:rPr>
            <w:noProof/>
            <w:webHidden/>
            <w:sz w:val="28"/>
            <w:szCs w:val="28"/>
          </w:rPr>
          <w:tab/>
        </w:r>
        <w:r w:rsidRPr="00B83F0B">
          <w:rPr>
            <w:noProof/>
            <w:webHidden/>
            <w:sz w:val="28"/>
            <w:szCs w:val="28"/>
          </w:rPr>
          <w:fldChar w:fldCharType="begin"/>
        </w:r>
        <w:r w:rsidRPr="00B83F0B">
          <w:rPr>
            <w:noProof/>
            <w:webHidden/>
            <w:sz w:val="28"/>
            <w:szCs w:val="28"/>
          </w:rPr>
          <w:instrText xml:space="preserve"> PAGEREF _Toc403055613 \h </w:instrText>
        </w:r>
        <w:r w:rsidRPr="00B83F0B">
          <w:rPr>
            <w:noProof/>
            <w:webHidden/>
            <w:sz w:val="28"/>
            <w:szCs w:val="28"/>
          </w:rPr>
        </w:r>
        <w:r w:rsidRPr="00B83F0B">
          <w:rPr>
            <w:noProof/>
            <w:webHidden/>
            <w:sz w:val="28"/>
            <w:szCs w:val="28"/>
          </w:rPr>
          <w:fldChar w:fldCharType="separate"/>
        </w:r>
        <w:r w:rsidRPr="00B83F0B">
          <w:rPr>
            <w:noProof/>
            <w:webHidden/>
            <w:sz w:val="28"/>
            <w:szCs w:val="28"/>
          </w:rPr>
          <w:t>5</w:t>
        </w:r>
        <w:r w:rsidRPr="00B83F0B">
          <w:rPr>
            <w:noProof/>
            <w:webHidden/>
            <w:sz w:val="28"/>
            <w:szCs w:val="28"/>
          </w:rPr>
          <w:fldChar w:fldCharType="end"/>
        </w:r>
      </w:hyperlink>
    </w:p>
    <w:p w:rsidR="00B83F0B" w:rsidRPr="00B83F0B" w:rsidRDefault="00B83F0B" w:rsidP="00B83F0B">
      <w:pPr>
        <w:pStyle w:val="11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03055614" w:history="1">
        <w:r w:rsidRPr="00B83F0B">
          <w:rPr>
            <w:rStyle w:val="a8"/>
            <w:noProof/>
            <w:sz w:val="28"/>
            <w:szCs w:val="28"/>
          </w:rPr>
          <w:t>2.</w:t>
        </w:r>
        <w:r w:rsidRPr="00B83F0B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Pr="00B83F0B">
          <w:rPr>
            <w:rStyle w:val="a8"/>
            <w:noProof/>
            <w:sz w:val="28"/>
            <w:szCs w:val="28"/>
          </w:rPr>
          <w:t>Организация деятельности банка ОАО «АК БАРС»</w:t>
        </w:r>
        <w:r w:rsidRPr="00B83F0B">
          <w:rPr>
            <w:noProof/>
            <w:webHidden/>
            <w:sz w:val="28"/>
            <w:szCs w:val="28"/>
          </w:rPr>
          <w:tab/>
        </w:r>
        <w:r w:rsidRPr="00B83F0B">
          <w:rPr>
            <w:noProof/>
            <w:webHidden/>
            <w:sz w:val="28"/>
            <w:szCs w:val="28"/>
          </w:rPr>
          <w:fldChar w:fldCharType="begin"/>
        </w:r>
        <w:r w:rsidRPr="00B83F0B">
          <w:rPr>
            <w:noProof/>
            <w:webHidden/>
            <w:sz w:val="28"/>
            <w:szCs w:val="28"/>
          </w:rPr>
          <w:instrText xml:space="preserve"> PAGEREF _Toc403055614 \h </w:instrText>
        </w:r>
        <w:r w:rsidRPr="00B83F0B">
          <w:rPr>
            <w:noProof/>
            <w:webHidden/>
            <w:sz w:val="28"/>
            <w:szCs w:val="28"/>
          </w:rPr>
        </w:r>
        <w:r w:rsidRPr="00B83F0B">
          <w:rPr>
            <w:noProof/>
            <w:webHidden/>
            <w:sz w:val="28"/>
            <w:szCs w:val="28"/>
          </w:rPr>
          <w:fldChar w:fldCharType="separate"/>
        </w:r>
        <w:r w:rsidRPr="00B83F0B">
          <w:rPr>
            <w:noProof/>
            <w:webHidden/>
            <w:sz w:val="28"/>
            <w:szCs w:val="28"/>
          </w:rPr>
          <w:t>10</w:t>
        </w:r>
        <w:r w:rsidRPr="00B83F0B">
          <w:rPr>
            <w:noProof/>
            <w:webHidden/>
            <w:sz w:val="28"/>
            <w:szCs w:val="28"/>
          </w:rPr>
          <w:fldChar w:fldCharType="end"/>
        </w:r>
      </w:hyperlink>
    </w:p>
    <w:p w:rsidR="00B83F0B" w:rsidRPr="00B83F0B" w:rsidRDefault="00B83F0B" w:rsidP="00B83F0B">
      <w:pPr>
        <w:pStyle w:val="25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03055615" w:history="1">
        <w:r w:rsidRPr="00B83F0B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Pr="00B83F0B">
          <w:rPr>
            <w:rStyle w:val="a8"/>
            <w:noProof/>
            <w:kern w:val="24"/>
            <w:sz w:val="28"/>
            <w:szCs w:val="28"/>
          </w:rPr>
          <w:t>Операции по формированию банковских ресурсов</w:t>
        </w:r>
        <w:r w:rsidRPr="00B83F0B">
          <w:rPr>
            <w:noProof/>
            <w:webHidden/>
            <w:sz w:val="28"/>
            <w:szCs w:val="28"/>
          </w:rPr>
          <w:tab/>
        </w:r>
        <w:r w:rsidRPr="00B83F0B">
          <w:rPr>
            <w:noProof/>
            <w:webHidden/>
            <w:sz w:val="28"/>
            <w:szCs w:val="28"/>
          </w:rPr>
          <w:fldChar w:fldCharType="begin"/>
        </w:r>
        <w:r w:rsidRPr="00B83F0B">
          <w:rPr>
            <w:noProof/>
            <w:webHidden/>
            <w:sz w:val="28"/>
            <w:szCs w:val="28"/>
          </w:rPr>
          <w:instrText xml:space="preserve"> PAGEREF _Toc403055615 \h </w:instrText>
        </w:r>
        <w:r w:rsidRPr="00B83F0B">
          <w:rPr>
            <w:noProof/>
            <w:webHidden/>
            <w:sz w:val="28"/>
            <w:szCs w:val="28"/>
          </w:rPr>
        </w:r>
        <w:r w:rsidRPr="00B83F0B">
          <w:rPr>
            <w:noProof/>
            <w:webHidden/>
            <w:sz w:val="28"/>
            <w:szCs w:val="28"/>
          </w:rPr>
          <w:fldChar w:fldCharType="separate"/>
        </w:r>
        <w:r w:rsidRPr="00B83F0B">
          <w:rPr>
            <w:noProof/>
            <w:webHidden/>
            <w:sz w:val="28"/>
            <w:szCs w:val="28"/>
          </w:rPr>
          <w:t>10</w:t>
        </w:r>
        <w:r w:rsidRPr="00B83F0B">
          <w:rPr>
            <w:noProof/>
            <w:webHidden/>
            <w:sz w:val="28"/>
            <w:szCs w:val="28"/>
          </w:rPr>
          <w:fldChar w:fldCharType="end"/>
        </w:r>
      </w:hyperlink>
    </w:p>
    <w:p w:rsidR="00B83F0B" w:rsidRPr="00B83F0B" w:rsidRDefault="00B83F0B" w:rsidP="00B83F0B">
      <w:pPr>
        <w:pStyle w:val="25"/>
        <w:tabs>
          <w:tab w:val="left" w:pos="88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03055616" w:history="1">
        <w:r w:rsidRPr="00B83F0B">
          <w:rPr>
            <w:rStyle w:val="a8"/>
            <w:noProof/>
            <w:kern w:val="24"/>
            <w:sz w:val="28"/>
            <w:szCs w:val="28"/>
          </w:rPr>
          <w:t>2.2.</w:t>
        </w:r>
        <w:r w:rsidRPr="00B83F0B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Pr="00B83F0B">
          <w:rPr>
            <w:rStyle w:val="a8"/>
            <w:noProof/>
            <w:sz w:val="28"/>
            <w:szCs w:val="28"/>
          </w:rPr>
          <w:t>Кассовые операции, учетно-ссудные операции</w:t>
        </w:r>
        <w:r w:rsidRPr="00B83F0B">
          <w:rPr>
            <w:noProof/>
            <w:webHidden/>
            <w:sz w:val="28"/>
            <w:szCs w:val="28"/>
          </w:rPr>
          <w:tab/>
        </w:r>
        <w:r w:rsidRPr="00B83F0B">
          <w:rPr>
            <w:noProof/>
            <w:webHidden/>
            <w:sz w:val="28"/>
            <w:szCs w:val="28"/>
          </w:rPr>
          <w:fldChar w:fldCharType="begin"/>
        </w:r>
        <w:r w:rsidRPr="00B83F0B">
          <w:rPr>
            <w:noProof/>
            <w:webHidden/>
            <w:sz w:val="28"/>
            <w:szCs w:val="28"/>
          </w:rPr>
          <w:instrText xml:space="preserve"> PAGEREF _Toc403055616 \h </w:instrText>
        </w:r>
        <w:r w:rsidRPr="00B83F0B">
          <w:rPr>
            <w:noProof/>
            <w:webHidden/>
            <w:sz w:val="28"/>
            <w:szCs w:val="28"/>
          </w:rPr>
        </w:r>
        <w:r w:rsidRPr="00B83F0B">
          <w:rPr>
            <w:noProof/>
            <w:webHidden/>
            <w:sz w:val="28"/>
            <w:szCs w:val="28"/>
          </w:rPr>
          <w:fldChar w:fldCharType="separate"/>
        </w:r>
        <w:r w:rsidRPr="00B83F0B">
          <w:rPr>
            <w:noProof/>
            <w:webHidden/>
            <w:sz w:val="28"/>
            <w:szCs w:val="28"/>
          </w:rPr>
          <w:t>11</w:t>
        </w:r>
        <w:r w:rsidRPr="00B83F0B">
          <w:rPr>
            <w:noProof/>
            <w:webHidden/>
            <w:sz w:val="28"/>
            <w:szCs w:val="28"/>
          </w:rPr>
          <w:fldChar w:fldCharType="end"/>
        </w:r>
      </w:hyperlink>
    </w:p>
    <w:p w:rsidR="00B83F0B" w:rsidRPr="00B83F0B" w:rsidRDefault="00B83F0B" w:rsidP="00B83F0B">
      <w:pPr>
        <w:pStyle w:val="25"/>
        <w:tabs>
          <w:tab w:val="left" w:pos="88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03055617" w:history="1">
        <w:r w:rsidRPr="00B83F0B">
          <w:rPr>
            <w:rStyle w:val="a8"/>
            <w:noProof/>
            <w:sz w:val="28"/>
            <w:szCs w:val="28"/>
          </w:rPr>
          <w:t>2.3.</w:t>
        </w:r>
        <w:r w:rsidRPr="00B83F0B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Pr="00B83F0B">
          <w:rPr>
            <w:rStyle w:val="a8"/>
            <w:noProof/>
            <w:sz w:val="28"/>
            <w:szCs w:val="28"/>
          </w:rPr>
          <w:t>Операции банков с ценными бумагами</w:t>
        </w:r>
        <w:r w:rsidRPr="00B83F0B">
          <w:rPr>
            <w:noProof/>
            <w:webHidden/>
            <w:sz w:val="28"/>
            <w:szCs w:val="28"/>
          </w:rPr>
          <w:tab/>
        </w:r>
        <w:r w:rsidRPr="00B83F0B">
          <w:rPr>
            <w:noProof/>
            <w:webHidden/>
            <w:sz w:val="28"/>
            <w:szCs w:val="28"/>
          </w:rPr>
          <w:fldChar w:fldCharType="begin"/>
        </w:r>
        <w:r w:rsidRPr="00B83F0B">
          <w:rPr>
            <w:noProof/>
            <w:webHidden/>
            <w:sz w:val="28"/>
            <w:szCs w:val="28"/>
          </w:rPr>
          <w:instrText xml:space="preserve"> PAGEREF _Toc403055617 \h </w:instrText>
        </w:r>
        <w:r w:rsidRPr="00B83F0B">
          <w:rPr>
            <w:noProof/>
            <w:webHidden/>
            <w:sz w:val="28"/>
            <w:szCs w:val="28"/>
          </w:rPr>
        </w:r>
        <w:r w:rsidRPr="00B83F0B">
          <w:rPr>
            <w:noProof/>
            <w:webHidden/>
            <w:sz w:val="28"/>
            <w:szCs w:val="28"/>
          </w:rPr>
          <w:fldChar w:fldCharType="separate"/>
        </w:r>
        <w:r w:rsidRPr="00B83F0B">
          <w:rPr>
            <w:noProof/>
            <w:webHidden/>
            <w:sz w:val="28"/>
            <w:szCs w:val="28"/>
          </w:rPr>
          <w:t>14</w:t>
        </w:r>
        <w:r w:rsidRPr="00B83F0B">
          <w:rPr>
            <w:noProof/>
            <w:webHidden/>
            <w:sz w:val="28"/>
            <w:szCs w:val="28"/>
          </w:rPr>
          <w:fldChar w:fldCharType="end"/>
        </w:r>
      </w:hyperlink>
    </w:p>
    <w:p w:rsidR="00B83F0B" w:rsidRPr="00B83F0B" w:rsidRDefault="00B83F0B" w:rsidP="00B83F0B">
      <w:pPr>
        <w:pStyle w:val="11"/>
        <w:tabs>
          <w:tab w:val="left" w:pos="440"/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03055618" w:history="1">
        <w:r w:rsidRPr="00B83F0B">
          <w:rPr>
            <w:rStyle w:val="a8"/>
            <w:noProof/>
            <w:sz w:val="28"/>
            <w:szCs w:val="28"/>
          </w:rPr>
          <w:t>3.</w:t>
        </w:r>
        <w:r w:rsidRPr="00B83F0B">
          <w:rPr>
            <w:rFonts w:asciiTheme="minorHAnsi" w:eastAsiaTheme="minorEastAsia" w:hAnsiTheme="minorHAnsi" w:cstheme="minorBidi"/>
            <w:noProof/>
            <w:sz w:val="28"/>
            <w:szCs w:val="28"/>
          </w:rPr>
          <w:tab/>
        </w:r>
        <w:r w:rsidRPr="00B83F0B">
          <w:rPr>
            <w:rStyle w:val="a8"/>
            <w:noProof/>
            <w:sz w:val="28"/>
            <w:szCs w:val="28"/>
          </w:rPr>
          <w:t>Анализ финансового состояния ОАО «АК БАРС»</w:t>
        </w:r>
        <w:r w:rsidRPr="00B83F0B">
          <w:rPr>
            <w:noProof/>
            <w:webHidden/>
            <w:sz w:val="28"/>
            <w:szCs w:val="28"/>
          </w:rPr>
          <w:tab/>
        </w:r>
        <w:r w:rsidRPr="00B83F0B">
          <w:rPr>
            <w:noProof/>
            <w:webHidden/>
            <w:sz w:val="28"/>
            <w:szCs w:val="28"/>
          </w:rPr>
          <w:fldChar w:fldCharType="begin"/>
        </w:r>
        <w:r w:rsidRPr="00B83F0B">
          <w:rPr>
            <w:noProof/>
            <w:webHidden/>
            <w:sz w:val="28"/>
            <w:szCs w:val="28"/>
          </w:rPr>
          <w:instrText xml:space="preserve"> PAGEREF _Toc403055618 \h </w:instrText>
        </w:r>
        <w:r w:rsidRPr="00B83F0B">
          <w:rPr>
            <w:noProof/>
            <w:webHidden/>
            <w:sz w:val="28"/>
            <w:szCs w:val="28"/>
          </w:rPr>
        </w:r>
        <w:r w:rsidRPr="00B83F0B">
          <w:rPr>
            <w:noProof/>
            <w:webHidden/>
            <w:sz w:val="28"/>
            <w:szCs w:val="28"/>
          </w:rPr>
          <w:fldChar w:fldCharType="separate"/>
        </w:r>
        <w:r w:rsidRPr="00B83F0B">
          <w:rPr>
            <w:noProof/>
            <w:webHidden/>
            <w:sz w:val="28"/>
            <w:szCs w:val="28"/>
          </w:rPr>
          <w:t>18</w:t>
        </w:r>
        <w:r w:rsidRPr="00B83F0B">
          <w:rPr>
            <w:noProof/>
            <w:webHidden/>
            <w:sz w:val="28"/>
            <w:szCs w:val="28"/>
          </w:rPr>
          <w:fldChar w:fldCharType="end"/>
        </w:r>
      </w:hyperlink>
    </w:p>
    <w:p w:rsidR="00B83F0B" w:rsidRPr="00B83F0B" w:rsidRDefault="00B83F0B" w:rsidP="00B83F0B">
      <w:pPr>
        <w:pStyle w:val="11"/>
        <w:tabs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03055619" w:history="1">
        <w:r w:rsidRPr="00B83F0B">
          <w:rPr>
            <w:rStyle w:val="a8"/>
            <w:noProof/>
            <w:sz w:val="28"/>
            <w:szCs w:val="28"/>
          </w:rPr>
          <w:t>Заключение</w:t>
        </w:r>
        <w:r w:rsidRPr="00B83F0B">
          <w:rPr>
            <w:noProof/>
            <w:webHidden/>
            <w:sz w:val="28"/>
            <w:szCs w:val="28"/>
          </w:rPr>
          <w:tab/>
        </w:r>
        <w:r w:rsidRPr="00B83F0B">
          <w:rPr>
            <w:noProof/>
            <w:webHidden/>
            <w:sz w:val="28"/>
            <w:szCs w:val="28"/>
          </w:rPr>
          <w:fldChar w:fldCharType="begin"/>
        </w:r>
        <w:r w:rsidRPr="00B83F0B">
          <w:rPr>
            <w:noProof/>
            <w:webHidden/>
            <w:sz w:val="28"/>
            <w:szCs w:val="28"/>
          </w:rPr>
          <w:instrText xml:space="preserve"> PAGEREF _Toc403055619 \h </w:instrText>
        </w:r>
        <w:r w:rsidRPr="00B83F0B">
          <w:rPr>
            <w:noProof/>
            <w:webHidden/>
            <w:sz w:val="28"/>
            <w:szCs w:val="28"/>
          </w:rPr>
        </w:r>
        <w:r w:rsidRPr="00B83F0B">
          <w:rPr>
            <w:noProof/>
            <w:webHidden/>
            <w:sz w:val="28"/>
            <w:szCs w:val="28"/>
          </w:rPr>
          <w:fldChar w:fldCharType="separate"/>
        </w:r>
        <w:r w:rsidRPr="00B83F0B">
          <w:rPr>
            <w:noProof/>
            <w:webHidden/>
            <w:sz w:val="28"/>
            <w:szCs w:val="28"/>
          </w:rPr>
          <w:t>30</w:t>
        </w:r>
        <w:r w:rsidRPr="00B83F0B">
          <w:rPr>
            <w:noProof/>
            <w:webHidden/>
            <w:sz w:val="28"/>
            <w:szCs w:val="28"/>
          </w:rPr>
          <w:fldChar w:fldCharType="end"/>
        </w:r>
      </w:hyperlink>
    </w:p>
    <w:p w:rsidR="00B83F0B" w:rsidRPr="00B83F0B" w:rsidRDefault="00B83F0B" w:rsidP="00B83F0B">
      <w:pPr>
        <w:pStyle w:val="11"/>
        <w:tabs>
          <w:tab w:val="right" w:leader="dot" w:pos="9344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</w:rPr>
      </w:pPr>
      <w:hyperlink w:anchor="_Toc403055620" w:history="1">
        <w:r w:rsidRPr="00B83F0B">
          <w:rPr>
            <w:rStyle w:val="a8"/>
            <w:noProof/>
            <w:sz w:val="28"/>
            <w:szCs w:val="28"/>
          </w:rPr>
          <w:t>Список используемой литературы</w:t>
        </w:r>
        <w:r w:rsidRPr="00B83F0B">
          <w:rPr>
            <w:noProof/>
            <w:webHidden/>
            <w:sz w:val="28"/>
            <w:szCs w:val="28"/>
          </w:rPr>
          <w:tab/>
        </w:r>
        <w:r w:rsidRPr="00B83F0B">
          <w:rPr>
            <w:noProof/>
            <w:webHidden/>
            <w:sz w:val="28"/>
            <w:szCs w:val="28"/>
          </w:rPr>
          <w:fldChar w:fldCharType="begin"/>
        </w:r>
        <w:r w:rsidRPr="00B83F0B">
          <w:rPr>
            <w:noProof/>
            <w:webHidden/>
            <w:sz w:val="28"/>
            <w:szCs w:val="28"/>
          </w:rPr>
          <w:instrText xml:space="preserve"> PAGEREF _Toc403055620 \h </w:instrText>
        </w:r>
        <w:r w:rsidRPr="00B83F0B">
          <w:rPr>
            <w:noProof/>
            <w:webHidden/>
            <w:sz w:val="28"/>
            <w:szCs w:val="28"/>
          </w:rPr>
        </w:r>
        <w:r w:rsidRPr="00B83F0B">
          <w:rPr>
            <w:noProof/>
            <w:webHidden/>
            <w:sz w:val="28"/>
            <w:szCs w:val="28"/>
          </w:rPr>
          <w:fldChar w:fldCharType="separate"/>
        </w:r>
        <w:r w:rsidRPr="00B83F0B">
          <w:rPr>
            <w:noProof/>
            <w:webHidden/>
            <w:sz w:val="28"/>
            <w:szCs w:val="28"/>
          </w:rPr>
          <w:t>31</w:t>
        </w:r>
        <w:r w:rsidRPr="00B83F0B">
          <w:rPr>
            <w:noProof/>
            <w:webHidden/>
            <w:sz w:val="28"/>
            <w:szCs w:val="28"/>
          </w:rPr>
          <w:fldChar w:fldCharType="end"/>
        </w:r>
      </w:hyperlink>
    </w:p>
    <w:p w:rsidR="00733D2D" w:rsidRDefault="00433704" w:rsidP="00B83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3F0B">
        <w:rPr>
          <w:rFonts w:ascii="Times New Roman" w:hAnsi="Times New Roman" w:cs="Times New Roman"/>
          <w:sz w:val="28"/>
          <w:szCs w:val="28"/>
        </w:rPr>
        <w:fldChar w:fldCharType="end"/>
      </w:r>
    </w:p>
    <w:p w:rsidR="00733D2D" w:rsidRDefault="00733D2D" w:rsidP="00733D2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3D2D" w:rsidRPr="00733D2D" w:rsidRDefault="00733D2D" w:rsidP="00733D2D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Toc403055612"/>
      <w:r w:rsidRPr="00733D2D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  <w:bookmarkEnd w:id="0"/>
    </w:p>
    <w:p w:rsidR="00733D2D" w:rsidRPr="00C127EE" w:rsidRDefault="00733D2D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 xml:space="preserve">Банковская система - одна из важнейших и неотъемлемых структур рыночной экономики. 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Роль банков в современной экономике можно свести к трем основным моментам.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Во-первых, развитая структура банков позволяет управлять системой платежей в обществе.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Во-вторых, аккумулируя средства, банки направляют их фактическим заемщикам, при этом, отдавая приоритет тем из них, которые смогут употребить денежные средства наилучшим образом. Таким образом, банки наиболее целесообразно перераспределяют денежные резервы общества.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В-третьих, банки, действуя в соответствии с денежно-кредитной политикой государства, регулируют количество денег, находящихся в обращении в той или иной экономической системе.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В современных условиях велико влияние банков на экономику. Деятельность кредитных учреждений не ограничивается аккумуляцией и размещением растущей массы денежных средств компаний, предприятий и части населения. Они способствуют накапливанию капитала, не только активно вмешиваются во все стороны хозяйственной жизни, но и непосредственно участвуют в деятельности функционирующего капитала или осуществляя контроль над ним. Благодаря банкам действует механизм распределения и перераспределения капитала по сферам или отраслям производства, который в значительной степени обеспечивает развитие народного хозяйства в зависимости от объективных потребностей производства. Финансируя дополнительные потребности предприятий промышленности, транспорта, сельского хозяйства в инвестициях, расширении производства, банки имеют возможность воздействовать на создание прогрессивной воспроизводственной структуры народного хозяйства.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lastRenderedPageBreak/>
        <w:t>Для управления процессами денежного обращения, кредитования и банковских расчетов в экономике необходимо располагать оперативной и достоверной информацией о состоянии и движении денежных средств по счетам банковских организаций. Разносторонняя, достоверная, оперативно получаемая и обрабатываемая информация, объективно отражающая экономический климат в стране, обстановку в регионах и различных сферах экономической деятельности, налоговую и таможенную политику государства, конъюнктуру цен, спроса и предложения на финансовых рынках, необходима для принятия управленческих решений как на государственном уровне, так и для успешной коммерческой деятельности в различных секторах экономики, в том числе и банковском секторе.</w:t>
      </w:r>
    </w:p>
    <w:p w:rsidR="00C127EE" w:rsidRPr="00C127EE" w:rsidRDefault="00C127EE" w:rsidP="00C127EE">
      <w:pPr>
        <w:pStyle w:val="ad"/>
        <w:spacing w:line="360" w:lineRule="auto"/>
        <w:ind w:right="-568" w:firstLine="709"/>
        <w:jc w:val="both"/>
        <w:rPr>
          <w:rFonts w:ascii="Times New Roman" w:hAnsi="Times New Roman"/>
          <w:sz w:val="28"/>
          <w:szCs w:val="28"/>
        </w:rPr>
      </w:pPr>
      <w:r w:rsidRPr="00C127EE">
        <w:rPr>
          <w:rFonts w:ascii="Times New Roman" w:hAnsi="Times New Roman"/>
          <w:sz w:val="28"/>
          <w:szCs w:val="28"/>
        </w:rPr>
        <w:t>Значимость разносторонней информации для успешной и эффективной деятельности как банковской системы в целом, так и для отдельных банков трудно переоценить. Это обусловлено многообразием их связей с клиентами и акционерами, партнерами и конкурентами, Центральным банком и органами власти, населением, средствами массовой информации.</w:t>
      </w:r>
    </w:p>
    <w:p w:rsidR="00C127EE" w:rsidRDefault="00C127EE" w:rsidP="00C127EE">
      <w:pPr>
        <w:pStyle w:val="ad"/>
        <w:spacing w:line="360" w:lineRule="auto"/>
        <w:ind w:right="-426" w:firstLine="709"/>
        <w:jc w:val="both"/>
        <w:rPr>
          <w:rFonts w:ascii="Times New Roman" w:hAnsi="Times New Roman"/>
          <w:sz w:val="28"/>
          <w:szCs w:val="28"/>
        </w:rPr>
      </w:pPr>
      <w:r w:rsidRPr="00C127EE">
        <w:rPr>
          <w:rFonts w:ascii="Times New Roman" w:hAnsi="Times New Roman"/>
          <w:sz w:val="28"/>
          <w:szCs w:val="28"/>
        </w:rPr>
        <w:t xml:space="preserve">Особую актуальность приобретает анализ информации при принятии стратегически важных решений в настоящее время, когда банки поставлены в центр чрезвычайных обстоятельств, вызванных действием множества противоречивых, </w:t>
      </w:r>
      <w:proofErr w:type="spellStart"/>
      <w:r w:rsidRPr="00C127EE">
        <w:rPr>
          <w:rFonts w:ascii="Times New Roman" w:hAnsi="Times New Roman"/>
          <w:sz w:val="28"/>
          <w:szCs w:val="28"/>
        </w:rPr>
        <w:t>труднопрогнозируемых</w:t>
      </w:r>
      <w:proofErr w:type="spellEnd"/>
      <w:r w:rsidRPr="00C127EE">
        <w:rPr>
          <w:rFonts w:ascii="Times New Roman" w:hAnsi="Times New Roman"/>
          <w:sz w:val="28"/>
          <w:szCs w:val="28"/>
        </w:rPr>
        <w:t xml:space="preserve"> кризисных процессов в экономике, политике, общественной жизни. Эффект обоснованного экономического решения определяется правильностью оценки и сопоставления собственных возможностей с потребностями и условиями рынка. Это относится к деятельности  коммерческих банков, возможно, даже в большей степени, чем к другим сферам бизнеса, так как ошибочная оценка и неверно принятое решение может привести к ликвидации банка или нанести серьезный материальный ущерб клиентам, в том числе и гражданам.</w:t>
      </w:r>
    </w:p>
    <w:p w:rsidR="00C127EE" w:rsidRPr="00C127EE" w:rsidRDefault="00C127EE" w:rsidP="00C127EE">
      <w:pPr>
        <w:pStyle w:val="ad"/>
        <w:spacing w:line="360" w:lineRule="auto"/>
        <w:ind w:right="-426" w:firstLine="709"/>
        <w:jc w:val="both"/>
        <w:rPr>
          <w:rFonts w:ascii="Times New Roman" w:hAnsi="Times New Roman"/>
          <w:sz w:val="28"/>
          <w:szCs w:val="28"/>
        </w:rPr>
      </w:pPr>
    </w:p>
    <w:p w:rsidR="00C127EE" w:rsidRDefault="00C127EE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Pr="00733D2D" w:rsidRDefault="00733D2D" w:rsidP="00B25B73">
      <w:pPr>
        <w:pStyle w:val="a3"/>
        <w:numPr>
          <w:ilvl w:val="0"/>
          <w:numId w:val="1"/>
        </w:num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_Toc403055613"/>
      <w:r w:rsidRPr="00733D2D">
        <w:rPr>
          <w:rFonts w:ascii="Times New Roman" w:hAnsi="Times New Roman" w:cs="Times New Roman"/>
          <w:b/>
          <w:sz w:val="28"/>
          <w:szCs w:val="28"/>
        </w:rPr>
        <w:lastRenderedPageBreak/>
        <w:t>Общая характеристика ОАО «АК БАРС»</w:t>
      </w:r>
      <w:bookmarkEnd w:id="1"/>
    </w:p>
    <w:p w:rsid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Акционерный коммерческий банк «АК БАРС»  (Открытое акционерное общество) зарегистрирован в ЦБ РФ и успешно работает на финансовом рынке России с 1993 года.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Банк располагает всеми видами существующих в Российской Федерации банковских лицензий и оказывает более 100 видов банковских услуг для корпоративных и частных клиентов.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Сегодня «АК БАРС» Банк обслуживает более 2 миллионов частных лиц и свыше 45 тысяч корпоративных клиентов, среди которых — крупнейшие экспортеры Республики Татарстан, предприятия нефтегазового и нефтехимического комплекса, машиностроительные, телекоммуникационные, строительные, химические, автотранспортные, торговые и агропромышленные предприятия.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 xml:space="preserve">Стабильность деятельности Банка гарантирует оплаченный уставный капитал в размере 28,2 млрд. руб. Величина собственного капитала на 1 апреля </w:t>
      </w:r>
      <w:smartTag w:uri="urn:schemas-microsoft-com:office:smarttags" w:element="metricconverter">
        <w:smartTagPr>
          <w:attr w:name="ProductID" w:val="2010 г"/>
        </w:smartTagPr>
        <w:r w:rsidRPr="00C127EE">
          <w:rPr>
            <w:rFonts w:ascii="Times New Roman" w:hAnsi="Times New Roman" w:cs="Times New Roman"/>
            <w:sz w:val="28"/>
            <w:szCs w:val="28"/>
          </w:rPr>
          <w:t>2010 г</w:t>
        </w:r>
      </w:smartTag>
      <w:r w:rsidRPr="00C127EE">
        <w:rPr>
          <w:rFonts w:ascii="Times New Roman" w:hAnsi="Times New Roman" w:cs="Times New Roman"/>
          <w:sz w:val="28"/>
          <w:szCs w:val="28"/>
        </w:rPr>
        <w:t>. составляет 36 млрд. руб.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На 01.04.2010 филиальная сеть «АК БАРС» Банка, насчитывает  20 филиалов в Республике Татарстан, 22 филиалов в крупных городах России, 134 дополнительных офисов, 139 операционных касс, 8 операционных офисов.</w:t>
      </w:r>
    </w:p>
    <w:p w:rsidR="00C127EE" w:rsidRPr="00C127EE" w:rsidRDefault="00C127EE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«АК БАРС» Банк является участником:</w:t>
      </w:r>
    </w:p>
    <w:p w:rsidR="00C127EE" w:rsidRPr="00C127EE" w:rsidRDefault="00C127EE" w:rsidP="00B25B73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 xml:space="preserve">Всемирного сообщества банковских телекоммуникаций «СВИФТ» (S.W.I.F.T), </w:t>
      </w:r>
    </w:p>
    <w:p w:rsidR="00C127EE" w:rsidRPr="00C127EE" w:rsidRDefault="00C127EE" w:rsidP="00B25B73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27EE">
        <w:rPr>
          <w:rFonts w:ascii="Times New Roman" w:hAnsi="Times New Roman" w:cs="Times New Roman"/>
          <w:sz w:val="28"/>
          <w:szCs w:val="28"/>
        </w:rPr>
        <w:t>Информационно-дилинговой</w:t>
      </w:r>
      <w:proofErr w:type="spellEnd"/>
      <w:r w:rsidRPr="00C127EE">
        <w:rPr>
          <w:rFonts w:ascii="Times New Roman" w:hAnsi="Times New Roman" w:cs="Times New Roman"/>
          <w:sz w:val="28"/>
          <w:szCs w:val="28"/>
        </w:rPr>
        <w:t xml:space="preserve"> системы «</w:t>
      </w:r>
      <w:proofErr w:type="spellStart"/>
      <w:r w:rsidRPr="00C127EE">
        <w:rPr>
          <w:rFonts w:ascii="Times New Roman" w:hAnsi="Times New Roman" w:cs="Times New Roman"/>
          <w:sz w:val="28"/>
          <w:szCs w:val="28"/>
        </w:rPr>
        <w:t>Рейтерс</w:t>
      </w:r>
      <w:proofErr w:type="spellEnd"/>
      <w:r w:rsidRPr="00C127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7EE">
        <w:rPr>
          <w:rFonts w:ascii="Times New Roman" w:hAnsi="Times New Roman" w:cs="Times New Roman"/>
          <w:sz w:val="28"/>
          <w:szCs w:val="28"/>
        </w:rPr>
        <w:t>Дилинг</w:t>
      </w:r>
      <w:proofErr w:type="spellEnd"/>
      <w:r w:rsidRPr="00C127EE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C127EE">
        <w:rPr>
          <w:rFonts w:ascii="Times New Roman" w:hAnsi="Times New Roman" w:cs="Times New Roman"/>
          <w:sz w:val="28"/>
          <w:szCs w:val="28"/>
        </w:rPr>
        <w:t>Reuters</w:t>
      </w:r>
      <w:proofErr w:type="spellEnd"/>
      <w:r w:rsidRPr="00C127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7EE">
        <w:rPr>
          <w:rFonts w:ascii="Times New Roman" w:hAnsi="Times New Roman" w:cs="Times New Roman"/>
          <w:sz w:val="28"/>
          <w:szCs w:val="28"/>
        </w:rPr>
        <w:t>Dealing</w:t>
      </w:r>
      <w:proofErr w:type="spellEnd"/>
      <w:r w:rsidRPr="00C127E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C127EE" w:rsidRPr="00C127EE" w:rsidRDefault="00C127EE" w:rsidP="00B25B73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 xml:space="preserve">Член Национальной Ассоциации Участников фондового Рынка (НАУФОР) </w:t>
      </w:r>
    </w:p>
    <w:p w:rsidR="00C127EE" w:rsidRPr="00C127EE" w:rsidRDefault="00C127EE" w:rsidP="00B25B73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 xml:space="preserve">Московской Межбанковской Валютной Биржи (ММВБ), </w:t>
      </w:r>
    </w:p>
    <w:p w:rsidR="00C127EE" w:rsidRPr="00C127EE" w:rsidRDefault="00C127EE" w:rsidP="00B25B73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lastRenderedPageBreak/>
        <w:t>Ассоциации участников вексельного рынка (</w:t>
      </w:r>
      <w:proofErr w:type="spellStart"/>
      <w:r w:rsidRPr="00C127EE">
        <w:rPr>
          <w:rFonts w:ascii="Times New Roman" w:hAnsi="Times New Roman" w:cs="Times New Roman"/>
          <w:sz w:val="28"/>
          <w:szCs w:val="28"/>
        </w:rPr>
        <w:t>АУВеР</w:t>
      </w:r>
      <w:proofErr w:type="spellEnd"/>
      <w:r w:rsidRPr="00C127E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C127EE" w:rsidRPr="00C127EE" w:rsidRDefault="00C127EE" w:rsidP="00B25B73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 xml:space="preserve">Российской Торговой Системы (РТС) и Ассоциации российских банков. </w:t>
      </w:r>
    </w:p>
    <w:p w:rsidR="002E0B82" w:rsidRDefault="002E0B82" w:rsidP="002E0B8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1.1</w:t>
      </w:r>
    </w:p>
    <w:p w:rsidR="00C127EE" w:rsidRPr="00C127EE" w:rsidRDefault="00C127EE" w:rsidP="002E0B8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127EE">
        <w:rPr>
          <w:rFonts w:ascii="Times New Roman" w:hAnsi="Times New Roman" w:cs="Times New Roman"/>
          <w:sz w:val="28"/>
          <w:szCs w:val="28"/>
        </w:rPr>
        <w:t>Доля «АК БАРС» Банка на рынке банковских услуг Татарстана на 01.04.201</w:t>
      </w:r>
      <w:r w:rsidR="002E0B82">
        <w:rPr>
          <w:rFonts w:ascii="Times New Roman" w:hAnsi="Times New Roman" w:cs="Times New Roman"/>
          <w:sz w:val="28"/>
          <w:szCs w:val="28"/>
        </w:rPr>
        <w:t>3</w:t>
      </w:r>
      <w:r w:rsidRPr="00C127EE">
        <w:rPr>
          <w:rFonts w:ascii="Times New Roman" w:hAnsi="Times New Roman" w:cs="Times New Roman"/>
          <w:sz w:val="28"/>
          <w:szCs w:val="28"/>
        </w:rPr>
        <w:t xml:space="preserve"> г.</w:t>
      </w:r>
    </w:p>
    <w:tbl>
      <w:tblPr>
        <w:tblStyle w:val="af8"/>
        <w:tblW w:w="0" w:type="auto"/>
        <w:jc w:val="center"/>
        <w:tblLook w:val="04A0"/>
      </w:tblPr>
      <w:tblGrid>
        <w:gridCol w:w="4785"/>
        <w:gridCol w:w="2269"/>
      </w:tblGrid>
      <w:tr w:rsidR="002E0B82" w:rsidRPr="002E0B82" w:rsidTr="002E0B82">
        <w:trPr>
          <w:jc w:val="center"/>
        </w:trPr>
        <w:tc>
          <w:tcPr>
            <w:tcW w:w="4785" w:type="dxa"/>
          </w:tcPr>
          <w:p w:rsidR="002E0B82" w:rsidRPr="002E0B82" w:rsidRDefault="002E0B82" w:rsidP="002E0B82">
            <w:pPr>
              <w:jc w:val="center"/>
              <w:rPr>
                <w:b/>
                <w:sz w:val="24"/>
                <w:szCs w:val="24"/>
              </w:rPr>
            </w:pPr>
            <w:r w:rsidRPr="002E0B82">
              <w:rPr>
                <w:b/>
                <w:sz w:val="24"/>
                <w:szCs w:val="24"/>
              </w:rPr>
              <w:t>Средства</w:t>
            </w:r>
          </w:p>
        </w:tc>
        <w:tc>
          <w:tcPr>
            <w:tcW w:w="2269" w:type="dxa"/>
          </w:tcPr>
          <w:p w:rsidR="002E0B82" w:rsidRPr="002E0B82" w:rsidRDefault="002E0B82" w:rsidP="002E0B82">
            <w:pPr>
              <w:jc w:val="center"/>
              <w:rPr>
                <w:b/>
                <w:sz w:val="24"/>
                <w:szCs w:val="24"/>
              </w:rPr>
            </w:pPr>
            <w:r w:rsidRPr="002E0B82">
              <w:rPr>
                <w:b/>
                <w:sz w:val="24"/>
                <w:szCs w:val="24"/>
              </w:rPr>
              <w:t>Доля</w:t>
            </w:r>
          </w:p>
        </w:tc>
      </w:tr>
      <w:tr w:rsidR="002E0B82" w:rsidRPr="002E0B82" w:rsidTr="002E0B82">
        <w:trPr>
          <w:jc w:val="center"/>
        </w:trPr>
        <w:tc>
          <w:tcPr>
            <w:tcW w:w="4785" w:type="dxa"/>
          </w:tcPr>
          <w:p w:rsidR="002E0B82" w:rsidRPr="002E0B82" w:rsidRDefault="002E0B82" w:rsidP="002E0B82">
            <w:pPr>
              <w:jc w:val="both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Сумма активов</w:t>
            </w:r>
          </w:p>
        </w:tc>
        <w:tc>
          <w:tcPr>
            <w:tcW w:w="2269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40,47%</w:t>
            </w:r>
          </w:p>
        </w:tc>
      </w:tr>
      <w:tr w:rsidR="002E0B82" w:rsidRPr="002E0B82" w:rsidTr="002E0B82">
        <w:trPr>
          <w:jc w:val="center"/>
        </w:trPr>
        <w:tc>
          <w:tcPr>
            <w:tcW w:w="4785" w:type="dxa"/>
          </w:tcPr>
          <w:p w:rsidR="002E0B82" w:rsidRPr="002E0B82" w:rsidRDefault="002E0B82" w:rsidP="002E0B82">
            <w:pPr>
              <w:jc w:val="both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Собственные средства</w:t>
            </w:r>
          </w:p>
        </w:tc>
        <w:tc>
          <w:tcPr>
            <w:tcW w:w="2269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53,57%</w:t>
            </w:r>
          </w:p>
        </w:tc>
      </w:tr>
      <w:tr w:rsidR="002E0B82" w:rsidRPr="002E0B82" w:rsidTr="002E0B82">
        <w:trPr>
          <w:jc w:val="center"/>
        </w:trPr>
        <w:tc>
          <w:tcPr>
            <w:tcW w:w="4785" w:type="dxa"/>
          </w:tcPr>
          <w:p w:rsidR="002E0B82" w:rsidRPr="002E0B82" w:rsidRDefault="002E0B82" w:rsidP="002E0B82">
            <w:pPr>
              <w:jc w:val="both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Привлеченные средства</w:t>
            </w:r>
          </w:p>
        </w:tc>
        <w:tc>
          <w:tcPr>
            <w:tcW w:w="2269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41,71%</w:t>
            </w:r>
          </w:p>
        </w:tc>
      </w:tr>
      <w:tr w:rsidR="002E0B82" w:rsidRPr="002E0B82" w:rsidTr="002E0B82">
        <w:trPr>
          <w:jc w:val="center"/>
        </w:trPr>
        <w:tc>
          <w:tcPr>
            <w:tcW w:w="4785" w:type="dxa"/>
          </w:tcPr>
          <w:p w:rsidR="002E0B82" w:rsidRPr="002E0B82" w:rsidRDefault="002E0B82" w:rsidP="002E0B82">
            <w:pPr>
              <w:jc w:val="both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Выданные кредиты</w:t>
            </w:r>
          </w:p>
        </w:tc>
        <w:tc>
          <w:tcPr>
            <w:tcW w:w="2269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38,94%</w:t>
            </w:r>
          </w:p>
        </w:tc>
      </w:tr>
    </w:tbl>
    <w:p w:rsidR="002E0B82" w:rsidRDefault="002E0B82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7EE" w:rsidRPr="00C127EE" w:rsidRDefault="002E0B82" w:rsidP="00C127EE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 w:rsidRPr="00C127EE">
        <w:rPr>
          <w:sz w:val="28"/>
          <w:szCs w:val="28"/>
        </w:rPr>
        <w:t xml:space="preserve"> </w:t>
      </w:r>
      <w:r w:rsidR="00C127EE" w:rsidRPr="00C127EE">
        <w:rPr>
          <w:sz w:val="28"/>
          <w:szCs w:val="28"/>
        </w:rPr>
        <w:t xml:space="preserve">«АК БАРС» Банк обладает всеми необходимыми лицензиями для осуществления банковской деятельности. </w:t>
      </w:r>
    </w:p>
    <w:p w:rsidR="00C127EE" w:rsidRPr="00C127EE" w:rsidRDefault="00C127EE" w:rsidP="00C127EE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 w:rsidRPr="00C127EE">
        <w:rPr>
          <w:sz w:val="28"/>
          <w:szCs w:val="28"/>
        </w:rPr>
        <w:t>«АК БАРС» Банк входит в двадцатку крупнейших финансовых структур России, занимая 20-е место по размеру собственного капитала и 15-е место по размеру чистых активов, на 1.11.2009 г.</w:t>
      </w:r>
    </w:p>
    <w:p w:rsidR="00C127EE" w:rsidRPr="00C127EE" w:rsidRDefault="00C127EE" w:rsidP="00C127EE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 w:rsidRPr="00C127EE">
        <w:rPr>
          <w:sz w:val="28"/>
          <w:szCs w:val="28"/>
        </w:rPr>
        <w:t>Банк обслуживает свыше 44 тысячи юридических лиц и более 2 миллионов частных клиентов.</w:t>
      </w:r>
    </w:p>
    <w:p w:rsidR="002E0B82" w:rsidRDefault="002E0B82" w:rsidP="002E0B82">
      <w:pPr>
        <w:spacing w:after="0" w:line="360" w:lineRule="auto"/>
        <w:jc w:val="right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Таблица 1.2</w:t>
      </w:r>
    </w:p>
    <w:p w:rsidR="00C127EE" w:rsidRDefault="00C127EE" w:rsidP="002E0B82">
      <w:pPr>
        <w:spacing w:after="0" w:line="360" w:lineRule="auto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E0B82">
        <w:rPr>
          <w:rFonts w:ascii="Times New Roman" w:hAnsi="Times New Roman" w:cs="Times New Roman"/>
          <w:color w:val="000000"/>
          <w:sz w:val="28"/>
          <w:szCs w:val="28"/>
        </w:rPr>
        <w:t>Top</w:t>
      </w:r>
      <w:proofErr w:type="spellEnd"/>
      <w:r w:rsidRPr="002E0B82">
        <w:rPr>
          <w:rFonts w:ascii="Times New Roman" w:hAnsi="Times New Roman" w:cs="Times New Roman"/>
          <w:color w:val="000000"/>
          <w:sz w:val="28"/>
          <w:szCs w:val="28"/>
        </w:rPr>
        <w:t xml:space="preserve"> 50</w:t>
      </w:r>
      <w:r w:rsidR="002E0B82" w:rsidRPr="002E0B82">
        <w:rPr>
          <w:rFonts w:ascii="Times New Roman" w:hAnsi="Times New Roman" w:cs="Times New Roman"/>
          <w:color w:val="000000"/>
          <w:sz w:val="28"/>
          <w:szCs w:val="28"/>
        </w:rPr>
        <w:t>0 банков по чистым активам в 201</w:t>
      </w:r>
      <w:r w:rsidR="002E0B8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2E0B82">
        <w:rPr>
          <w:rFonts w:ascii="Times New Roman" w:hAnsi="Times New Roman" w:cs="Times New Roman"/>
          <w:color w:val="000000"/>
          <w:sz w:val="28"/>
          <w:szCs w:val="28"/>
        </w:rPr>
        <w:t xml:space="preserve"> году</w:t>
      </w:r>
    </w:p>
    <w:tbl>
      <w:tblPr>
        <w:tblStyle w:val="af8"/>
        <w:tblW w:w="0" w:type="auto"/>
        <w:jc w:val="center"/>
        <w:tblLook w:val="04A0"/>
      </w:tblPr>
      <w:tblGrid>
        <w:gridCol w:w="675"/>
        <w:gridCol w:w="2392"/>
        <w:gridCol w:w="2704"/>
        <w:gridCol w:w="2848"/>
      </w:tblGrid>
      <w:tr w:rsidR="002E0B82" w:rsidTr="002E0B82">
        <w:trPr>
          <w:jc w:val="center"/>
        </w:trPr>
        <w:tc>
          <w:tcPr>
            <w:tcW w:w="675" w:type="dxa"/>
          </w:tcPr>
          <w:p w:rsidR="002E0B82" w:rsidRPr="002E0B82" w:rsidRDefault="002E0B82" w:rsidP="00470D6D">
            <w:pPr>
              <w:jc w:val="center"/>
              <w:rPr>
                <w:b/>
                <w:bCs/>
                <w:sz w:val="24"/>
                <w:szCs w:val="24"/>
              </w:rPr>
            </w:pPr>
            <w:r w:rsidRPr="002E0B82">
              <w:rPr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2392" w:type="dxa"/>
          </w:tcPr>
          <w:p w:rsidR="002E0B82" w:rsidRPr="002E0B82" w:rsidRDefault="002E0B82" w:rsidP="00470D6D">
            <w:pPr>
              <w:jc w:val="center"/>
              <w:rPr>
                <w:b/>
                <w:bCs/>
                <w:sz w:val="24"/>
                <w:szCs w:val="24"/>
              </w:rPr>
            </w:pPr>
            <w:r w:rsidRPr="002E0B82">
              <w:rPr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2704" w:type="dxa"/>
          </w:tcPr>
          <w:p w:rsidR="002E0B82" w:rsidRPr="002E0B82" w:rsidRDefault="002E0B82" w:rsidP="002E0B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Чистые активы на 1 января 2012</w:t>
            </w:r>
            <w:r w:rsidRPr="002E0B82">
              <w:rPr>
                <w:b/>
                <w:bCs/>
                <w:sz w:val="24"/>
                <w:szCs w:val="24"/>
              </w:rPr>
              <w:t xml:space="preserve"> года (млн. руб.)</w:t>
            </w:r>
          </w:p>
        </w:tc>
        <w:tc>
          <w:tcPr>
            <w:tcW w:w="2848" w:type="dxa"/>
          </w:tcPr>
          <w:p w:rsidR="002E0B82" w:rsidRPr="002E0B82" w:rsidRDefault="002E0B82" w:rsidP="002E0B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Чистые активы на 1 января 2013</w:t>
            </w:r>
            <w:r w:rsidRPr="002E0B82">
              <w:rPr>
                <w:b/>
                <w:bCs/>
                <w:sz w:val="24"/>
                <w:szCs w:val="24"/>
              </w:rPr>
              <w:t xml:space="preserve"> года (млн. руб.)</w:t>
            </w:r>
          </w:p>
        </w:tc>
      </w:tr>
      <w:tr w:rsidR="002E0B82" w:rsidTr="002E0B82">
        <w:trPr>
          <w:jc w:val="center"/>
        </w:trPr>
        <w:tc>
          <w:tcPr>
            <w:tcW w:w="675" w:type="dxa"/>
          </w:tcPr>
          <w:p w:rsidR="002E0B82" w:rsidRPr="002E0B82" w:rsidRDefault="002E0B82" w:rsidP="00470D6D">
            <w:pPr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15</w:t>
            </w:r>
          </w:p>
        </w:tc>
        <w:tc>
          <w:tcPr>
            <w:tcW w:w="2392" w:type="dxa"/>
          </w:tcPr>
          <w:p w:rsidR="002E0B82" w:rsidRPr="002E0B82" w:rsidRDefault="002E0B82" w:rsidP="00470D6D">
            <w:pPr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…</w:t>
            </w:r>
          </w:p>
        </w:tc>
        <w:tc>
          <w:tcPr>
            <w:tcW w:w="2704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…</w:t>
            </w:r>
          </w:p>
        </w:tc>
        <w:tc>
          <w:tcPr>
            <w:tcW w:w="2848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…</w:t>
            </w:r>
          </w:p>
        </w:tc>
      </w:tr>
      <w:tr w:rsidR="002E0B82" w:rsidTr="002E0B82">
        <w:trPr>
          <w:jc w:val="center"/>
        </w:trPr>
        <w:tc>
          <w:tcPr>
            <w:tcW w:w="675" w:type="dxa"/>
          </w:tcPr>
          <w:p w:rsidR="002E0B82" w:rsidRPr="002E0B82" w:rsidRDefault="002E0B82" w:rsidP="00470D6D">
            <w:pPr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16</w:t>
            </w:r>
          </w:p>
        </w:tc>
        <w:tc>
          <w:tcPr>
            <w:tcW w:w="2392" w:type="dxa"/>
          </w:tcPr>
          <w:p w:rsidR="002E0B82" w:rsidRPr="002E0B82" w:rsidRDefault="002E0B82" w:rsidP="00470D6D">
            <w:pPr>
              <w:rPr>
                <w:sz w:val="24"/>
                <w:szCs w:val="24"/>
              </w:rPr>
            </w:pPr>
            <w:proofErr w:type="spellStart"/>
            <w:r w:rsidRPr="002E0B82">
              <w:rPr>
                <w:sz w:val="24"/>
                <w:szCs w:val="24"/>
              </w:rPr>
              <w:t>Транскредитбанк</w:t>
            </w:r>
            <w:proofErr w:type="spellEnd"/>
          </w:p>
        </w:tc>
        <w:tc>
          <w:tcPr>
            <w:tcW w:w="2704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247352,34</w:t>
            </w:r>
          </w:p>
        </w:tc>
        <w:tc>
          <w:tcPr>
            <w:tcW w:w="2848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233788,04</w:t>
            </w:r>
          </w:p>
        </w:tc>
      </w:tr>
      <w:tr w:rsidR="002E0B82" w:rsidTr="002E0B82">
        <w:trPr>
          <w:jc w:val="center"/>
        </w:trPr>
        <w:tc>
          <w:tcPr>
            <w:tcW w:w="675" w:type="dxa"/>
          </w:tcPr>
          <w:p w:rsidR="002E0B82" w:rsidRPr="002E0B82" w:rsidRDefault="002E0B82" w:rsidP="00470D6D">
            <w:pPr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17</w:t>
            </w:r>
          </w:p>
        </w:tc>
        <w:tc>
          <w:tcPr>
            <w:tcW w:w="2392" w:type="dxa"/>
          </w:tcPr>
          <w:p w:rsidR="002E0B82" w:rsidRPr="002E0B82" w:rsidRDefault="002E0B82" w:rsidP="00470D6D">
            <w:pPr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Банк Санкт-Петербург</w:t>
            </w:r>
          </w:p>
        </w:tc>
        <w:tc>
          <w:tcPr>
            <w:tcW w:w="2704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246737,74</w:t>
            </w:r>
          </w:p>
        </w:tc>
        <w:tc>
          <w:tcPr>
            <w:tcW w:w="2848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209762,52</w:t>
            </w:r>
          </w:p>
        </w:tc>
      </w:tr>
      <w:tr w:rsidR="002E0B82" w:rsidRPr="002E0B82" w:rsidTr="002E0B82">
        <w:trPr>
          <w:jc w:val="center"/>
        </w:trPr>
        <w:tc>
          <w:tcPr>
            <w:tcW w:w="675" w:type="dxa"/>
          </w:tcPr>
          <w:p w:rsidR="002E0B82" w:rsidRPr="002E0B82" w:rsidRDefault="002E0B82" w:rsidP="00C67E55">
            <w:pPr>
              <w:rPr>
                <w:b/>
                <w:sz w:val="24"/>
                <w:szCs w:val="24"/>
              </w:rPr>
            </w:pPr>
            <w:r w:rsidRPr="002E0B82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92" w:type="dxa"/>
          </w:tcPr>
          <w:p w:rsidR="002E0B82" w:rsidRPr="002E0B82" w:rsidRDefault="002E0B82" w:rsidP="00C67E55">
            <w:pPr>
              <w:rPr>
                <w:b/>
                <w:sz w:val="24"/>
                <w:szCs w:val="24"/>
              </w:rPr>
            </w:pPr>
            <w:r w:rsidRPr="002E0B82">
              <w:rPr>
                <w:b/>
                <w:sz w:val="24"/>
                <w:szCs w:val="24"/>
              </w:rPr>
              <w:t>АК Барс</w:t>
            </w:r>
          </w:p>
        </w:tc>
        <w:tc>
          <w:tcPr>
            <w:tcW w:w="2704" w:type="dxa"/>
          </w:tcPr>
          <w:p w:rsidR="002E0B82" w:rsidRPr="002E0B82" w:rsidRDefault="002E0B82" w:rsidP="002E0B82">
            <w:pPr>
              <w:jc w:val="center"/>
              <w:rPr>
                <w:b/>
                <w:sz w:val="24"/>
                <w:szCs w:val="24"/>
              </w:rPr>
            </w:pPr>
            <w:r w:rsidRPr="002E0B82">
              <w:rPr>
                <w:b/>
                <w:sz w:val="24"/>
                <w:szCs w:val="24"/>
              </w:rPr>
              <w:t>214658,76</w:t>
            </w:r>
          </w:p>
        </w:tc>
        <w:tc>
          <w:tcPr>
            <w:tcW w:w="2848" w:type="dxa"/>
          </w:tcPr>
          <w:p w:rsidR="002E0B82" w:rsidRPr="002E0B82" w:rsidRDefault="002E0B82" w:rsidP="002E0B82">
            <w:pPr>
              <w:jc w:val="center"/>
              <w:rPr>
                <w:b/>
                <w:sz w:val="24"/>
                <w:szCs w:val="24"/>
              </w:rPr>
            </w:pPr>
            <w:r w:rsidRPr="002E0B82">
              <w:rPr>
                <w:b/>
                <w:sz w:val="24"/>
                <w:szCs w:val="24"/>
              </w:rPr>
              <w:t>210774,34</w:t>
            </w:r>
          </w:p>
        </w:tc>
      </w:tr>
      <w:tr w:rsidR="002E0B82" w:rsidTr="002E0B82">
        <w:trPr>
          <w:jc w:val="center"/>
        </w:trPr>
        <w:tc>
          <w:tcPr>
            <w:tcW w:w="675" w:type="dxa"/>
          </w:tcPr>
          <w:p w:rsidR="002E0B82" w:rsidRPr="002E0B82" w:rsidRDefault="002E0B82" w:rsidP="00C67E55">
            <w:pPr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19</w:t>
            </w:r>
          </w:p>
        </w:tc>
        <w:tc>
          <w:tcPr>
            <w:tcW w:w="2392" w:type="dxa"/>
          </w:tcPr>
          <w:p w:rsidR="002E0B82" w:rsidRPr="002E0B82" w:rsidRDefault="002E0B82" w:rsidP="00C67E55">
            <w:pPr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Связь-Банк</w:t>
            </w:r>
          </w:p>
        </w:tc>
        <w:tc>
          <w:tcPr>
            <w:tcW w:w="2704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202626,01</w:t>
            </w:r>
          </w:p>
        </w:tc>
        <w:tc>
          <w:tcPr>
            <w:tcW w:w="2848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-</w:t>
            </w:r>
          </w:p>
        </w:tc>
      </w:tr>
      <w:tr w:rsidR="002E0B82" w:rsidTr="002E0B82">
        <w:trPr>
          <w:jc w:val="center"/>
        </w:trPr>
        <w:tc>
          <w:tcPr>
            <w:tcW w:w="675" w:type="dxa"/>
          </w:tcPr>
          <w:p w:rsidR="002E0B82" w:rsidRPr="002E0B82" w:rsidRDefault="002E0B82" w:rsidP="00C67E55">
            <w:pPr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20</w:t>
            </w:r>
          </w:p>
        </w:tc>
        <w:tc>
          <w:tcPr>
            <w:tcW w:w="2392" w:type="dxa"/>
          </w:tcPr>
          <w:p w:rsidR="002E0B82" w:rsidRPr="002E0B82" w:rsidRDefault="002E0B82" w:rsidP="00C67E55">
            <w:pPr>
              <w:rPr>
                <w:sz w:val="24"/>
                <w:szCs w:val="24"/>
              </w:rPr>
            </w:pPr>
            <w:proofErr w:type="spellStart"/>
            <w:r w:rsidRPr="002E0B82">
              <w:rPr>
                <w:sz w:val="24"/>
                <w:szCs w:val="24"/>
              </w:rPr>
              <w:t>Ситибанк</w:t>
            </w:r>
            <w:proofErr w:type="spellEnd"/>
          </w:p>
        </w:tc>
        <w:tc>
          <w:tcPr>
            <w:tcW w:w="2704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189851,63</w:t>
            </w:r>
          </w:p>
        </w:tc>
        <w:tc>
          <w:tcPr>
            <w:tcW w:w="2848" w:type="dxa"/>
          </w:tcPr>
          <w:p w:rsidR="002E0B82" w:rsidRPr="002E0B82" w:rsidRDefault="002E0B82" w:rsidP="002E0B82">
            <w:pPr>
              <w:jc w:val="center"/>
              <w:rPr>
                <w:sz w:val="24"/>
                <w:szCs w:val="24"/>
              </w:rPr>
            </w:pPr>
            <w:r w:rsidRPr="002E0B82">
              <w:rPr>
                <w:sz w:val="24"/>
                <w:szCs w:val="24"/>
              </w:rPr>
              <w:t>171790,55</w:t>
            </w:r>
          </w:p>
        </w:tc>
      </w:tr>
    </w:tbl>
    <w:p w:rsidR="002E0B82" w:rsidRPr="002E0B82" w:rsidRDefault="002E0B82" w:rsidP="002E0B82">
      <w:pPr>
        <w:spacing w:after="0" w:line="360" w:lineRule="auto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ОАО «АК БАРС» БАНК является лидером банковской отрасли Республики Татарстан и занимает прочные позиции в двадцатке крупнейших российских банков, присутствуя во многих экономически развитых регионах России. 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lastRenderedPageBreak/>
        <w:t xml:space="preserve">На 01.01.2014 года «АК БАРС» Банк имел 399 территориальных подразделения,  количество клиентов физических лиц достигло 2,9 миллионов  человек, клиентов юридических лиц – более 53 тысяч. 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География деятельности Банка осуществляется через региональную сеть, которая насчитывала на 01.01.14 г. 44 филиала (в РТ - 20, в регионах РФ-24), 14 операционных офисов, 224 дополнительных офиса (в РТ-136, в регионах РФ-88), 117 операционных касс (в РТ-99, в регионах РФ- 18).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«АК БАРС» Банк является универсальным банком и развивает такие направления деятельности, как корпоративный, розничный и инвестиционный бизнес. 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B82">
        <w:rPr>
          <w:rFonts w:ascii="Times New Roman" w:eastAsia="SimSun" w:hAnsi="Times New Roman" w:cs="Times New Roman"/>
          <w:sz w:val="28"/>
          <w:szCs w:val="28"/>
          <w:lang w:eastAsia="zh-CN"/>
        </w:rPr>
        <w:t>Руководство ОАО «АК БАРС» Банк осуществляется правлением, которое возглавляет президент — председатель правления. Помимо него в правление входят 7 руководителей — членов правления.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B82">
        <w:rPr>
          <w:rFonts w:ascii="Times New Roman" w:eastAsia="SimSun" w:hAnsi="Times New Roman" w:cs="Times New Roman"/>
          <w:sz w:val="28"/>
          <w:szCs w:val="28"/>
          <w:lang w:eastAsia="zh-CN"/>
        </w:rPr>
        <w:t>Кроме того, в состав руководящей группы входят 11 </w:t>
      </w:r>
      <w:proofErr w:type="spellStart"/>
      <w:r w:rsidRPr="002E0B82">
        <w:rPr>
          <w:rFonts w:ascii="Times New Roman" w:eastAsia="SimSun" w:hAnsi="Times New Roman" w:cs="Times New Roman"/>
          <w:sz w:val="28"/>
          <w:szCs w:val="28"/>
          <w:lang w:eastAsia="zh-CN"/>
        </w:rPr>
        <w:t>топ-менеджеров</w:t>
      </w:r>
      <w:proofErr w:type="spellEnd"/>
      <w:r w:rsidRPr="002E0B82">
        <w:rPr>
          <w:rFonts w:ascii="Times New Roman" w:eastAsia="SimSun" w:hAnsi="Times New Roman" w:cs="Times New Roman"/>
          <w:sz w:val="28"/>
          <w:szCs w:val="28"/>
          <w:lang w:eastAsia="zh-CN"/>
        </w:rPr>
        <w:t>, возглавляющих различные подразделения банка.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E0B82">
        <w:rPr>
          <w:rFonts w:ascii="Times New Roman" w:eastAsia="SimSun" w:hAnsi="Times New Roman" w:cs="Times New Roman"/>
          <w:sz w:val="28"/>
          <w:szCs w:val="28"/>
          <w:lang w:eastAsia="zh-CN"/>
        </w:rPr>
        <w:t>Правление и его председатель являются исполнительными органами, которые подотчетны общему собранию акционеров и наблюдательному совету банка.</w:t>
      </w:r>
    </w:p>
    <w:p w:rsidR="00F611C7" w:rsidRPr="002E0B82" w:rsidRDefault="00F611C7" w:rsidP="00F611C7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Банк имеет линейно-функциональную организационную структуру.</w:t>
      </w:r>
    </w:p>
    <w:p w:rsidR="00F611C7" w:rsidRPr="002E0B82" w:rsidRDefault="00F611C7" w:rsidP="00F611C7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Общий персонал филиала насчитывает около 200 человек.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i/>
          <w:iCs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Филиал возглавляет управляющий филиалом. В его прямом подчинении находятся три  заместителя, которые отвечают за соответствующие блоки управления </w:t>
      </w:r>
      <w:r w:rsidRPr="002E0B82">
        <w:rPr>
          <w:rFonts w:ascii="Times New Roman" w:hAnsi="Times New Roman" w:cs="Times New Roman"/>
          <w:i/>
          <w:iCs/>
          <w:kern w:val="24"/>
          <w:sz w:val="28"/>
          <w:szCs w:val="28"/>
        </w:rPr>
        <w:t>Первый блок состоит из следующих департаментов: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1-Департамент пластиковых карт. Производит операции с пластиковыми карточками всех категорий 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2-Департамент новых каналов дистрибуции занимается управлением мобильной сетью продаж и телефонным обслуживанием.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lastRenderedPageBreak/>
        <w:t>3-Управление методологии и развития пассивных и комиссионных операций – внедрение новых продуктов и развитие пассивных и комиссионных продуктов.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4-Департамент розничного кредитования рассматривает кредитные заявки, оформленные в клиентском отделе, осуществляет детальную оценку кредитоспособности заемщиков и залога, предоставленного в обеспечение кредита, формирует юридические дела клиентов, занимается мониторингом выданных кредитов. Основные виды услуг: </w:t>
      </w:r>
      <w:proofErr w:type="spellStart"/>
      <w:r w:rsidRPr="002E0B82">
        <w:rPr>
          <w:rFonts w:ascii="Times New Roman" w:hAnsi="Times New Roman" w:cs="Times New Roman"/>
          <w:kern w:val="24"/>
          <w:sz w:val="28"/>
          <w:szCs w:val="28"/>
        </w:rPr>
        <w:t>автокредитование</w:t>
      </w:r>
      <w:proofErr w:type="spellEnd"/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, потребительское кредитование и обслуживание </w:t>
      </w:r>
      <w:r w:rsidRPr="002E0B82">
        <w:rPr>
          <w:rFonts w:ascii="Times New Roman" w:hAnsi="Times New Roman" w:cs="Times New Roman"/>
          <w:kern w:val="24"/>
          <w:sz w:val="28"/>
          <w:szCs w:val="28"/>
          <w:lang w:val="en-US"/>
        </w:rPr>
        <w:t>VIP</w:t>
      </w:r>
      <w:r w:rsidRPr="002E0B82">
        <w:rPr>
          <w:rFonts w:ascii="Times New Roman" w:hAnsi="Times New Roman" w:cs="Times New Roman"/>
          <w:kern w:val="24"/>
          <w:sz w:val="28"/>
          <w:szCs w:val="28"/>
        </w:rPr>
        <w:t>-клиентов.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i/>
          <w:iCs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i/>
          <w:iCs/>
          <w:kern w:val="24"/>
          <w:sz w:val="28"/>
          <w:szCs w:val="28"/>
        </w:rPr>
        <w:t xml:space="preserve">Второй блок: 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1-Управление маркетинга занимается маркетинговыми исследованиями и анализом рынка, а также стратегическим планированием. 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2-Управление развития общественных связей. В него входят: отдел </w:t>
      </w:r>
      <w:proofErr w:type="spellStart"/>
      <w:r w:rsidRPr="002E0B82">
        <w:rPr>
          <w:rFonts w:ascii="Times New Roman" w:hAnsi="Times New Roman" w:cs="Times New Roman"/>
          <w:kern w:val="24"/>
          <w:sz w:val="28"/>
          <w:szCs w:val="28"/>
        </w:rPr>
        <w:t>Интернет-проектов</w:t>
      </w:r>
      <w:proofErr w:type="spellEnd"/>
      <w:r w:rsidRPr="002E0B82">
        <w:rPr>
          <w:rFonts w:ascii="Times New Roman" w:hAnsi="Times New Roman" w:cs="Times New Roman"/>
          <w:kern w:val="24"/>
          <w:sz w:val="28"/>
          <w:szCs w:val="28"/>
        </w:rPr>
        <w:t>, отдел рекламы и отдел по связям со СМИ.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В филиале существует также третий блок управления, который подчиняется, как и заместители, управляющему филиалом. Этот блок представлен следующими частями: 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1-Финансовый департамент проводит бухгалтерское оформление валютно-финансовых операций, отражает все производимые в банке операции в бухгалтерском учете и отчетности, а также осуществляет контроль за соблюдение финансовой дисциплины.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2-Департамент анализа рисков. Совершает следующие операции: работа с залоговым имуществом, исследование рисков и их методологии, анализ рисков розничных клиентов, управление финансовыми рисками, а также работа с проблемными кредитами.</w:t>
      </w:r>
    </w:p>
    <w:p w:rsidR="00F611C7" w:rsidRPr="002E0B82" w:rsidRDefault="00F611C7" w:rsidP="00F611C7">
      <w:pPr>
        <w:tabs>
          <w:tab w:val="left" w:pos="340"/>
          <w:tab w:val="left" w:pos="1819"/>
          <w:tab w:val="right" w:pos="3753"/>
          <w:tab w:val="left" w:pos="4108"/>
          <w:tab w:val="left" w:pos="6110"/>
          <w:tab w:val="left" w:pos="7411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3-Операционный департамент организует работу банка в сфере безналичных расчетов по обслуживанию расчетных, текущих, ссудных и других счетов; оперативное управление ликвидностью; установление </w:t>
      </w:r>
      <w:r w:rsidRPr="002E0B82">
        <w:rPr>
          <w:rFonts w:ascii="Times New Roman" w:hAnsi="Times New Roman" w:cs="Times New Roman"/>
          <w:kern w:val="24"/>
          <w:sz w:val="28"/>
          <w:szCs w:val="28"/>
        </w:rPr>
        <w:lastRenderedPageBreak/>
        <w:t xml:space="preserve">курсов валют; открывает, закрывает и ведет рублевые счета клиентов физических и юридических лиц, осуществляет переводы за границу, производит оплату, платежи в иностранной валюте, производит операции по выдаче пластиковых карточек VISA, </w:t>
      </w:r>
      <w:proofErr w:type="spellStart"/>
      <w:r w:rsidRPr="002E0B82">
        <w:rPr>
          <w:rFonts w:ascii="Times New Roman" w:hAnsi="Times New Roman" w:cs="Times New Roman"/>
          <w:kern w:val="24"/>
          <w:sz w:val="28"/>
          <w:szCs w:val="28"/>
        </w:rPr>
        <w:t>Master</w:t>
      </w:r>
      <w:proofErr w:type="spellEnd"/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2E0B82">
        <w:rPr>
          <w:rFonts w:ascii="Times New Roman" w:hAnsi="Times New Roman" w:cs="Times New Roman"/>
          <w:kern w:val="24"/>
          <w:sz w:val="28"/>
          <w:szCs w:val="28"/>
        </w:rPr>
        <w:t>Card</w:t>
      </w:r>
      <w:proofErr w:type="spellEnd"/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всех категорий и др.;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В структуре филиала, помимо отделов и служб, функционирует также кредитный комитет. Он не является самостоятельным подразделением Банка, в его состав входят должностные лица других отделов Банка, кандидатуры которых утверждены управляющим филиалом. Комитет создан для повышения уровня и улучшения качества управленческих решений по принципиальным вопросам. В своей деятельности комитет определяет стратегические и тактические задачи развития кредитных операций, рассматривает основные нормативно - методические документы по ведению и учету кредитных операций, принимает решение о выдаче кредитов, посылает запрос в головное отделение о возможности выдачи крупных кредитов и т.д. </w:t>
      </w:r>
    </w:p>
    <w:p w:rsidR="00F611C7" w:rsidRPr="002E0B82" w:rsidRDefault="00F611C7" w:rsidP="00F611C7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Кроме того, в Банке действует также аппарат руководства, главный бухгалтер, корпоративный и инвестиционный департаменты, департамент обслуживания клиентов малого бизнеса, департамент ипотечного кредитования, служба внутреннего контроля, юридическое управление и т.д.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ОАО «АК БАРС» БАНК является членом государственной обязательной системы страхования вкладов. Вклады в ОАО «АК БАРС» БАНК застрахованы государством.</w:t>
      </w:r>
    </w:p>
    <w:p w:rsid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63FE" w:rsidRDefault="008763FE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11C7" w:rsidRDefault="00F611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33D2D" w:rsidRPr="00733D2D" w:rsidRDefault="00733D2D" w:rsidP="00B25B73">
      <w:pPr>
        <w:pStyle w:val="a3"/>
        <w:numPr>
          <w:ilvl w:val="0"/>
          <w:numId w:val="1"/>
        </w:num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" w:name="_Toc403055614"/>
      <w:r w:rsidRPr="00733D2D">
        <w:rPr>
          <w:rFonts w:ascii="Times New Roman" w:hAnsi="Times New Roman" w:cs="Times New Roman"/>
          <w:b/>
          <w:sz w:val="28"/>
          <w:szCs w:val="28"/>
        </w:rPr>
        <w:lastRenderedPageBreak/>
        <w:t>Организация деятельности банка ОАО «АК БАРС»</w:t>
      </w:r>
      <w:bookmarkEnd w:id="2"/>
    </w:p>
    <w:p w:rsidR="002E0B82" w:rsidRPr="002E0B82" w:rsidRDefault="002E0B82" w:rsidP="00B25B73">
      <w:pPr>
        <w:pStyle w:val="a3"/>
        <w:numPr>
          <w:ilvl w:val="1"/>
          <w:numId w:val="1"/>
        </w:numPr>
        <w:tabs>
          <w:tab w:val="right" w:pos="9499"/>
        </w:tabs>
        <w:spacing w:after="0" w:line="360" w:lineRule="auto"/>
        <w:ind w:left="1157" w:hanging="448"/>
        <w:jc w:val="center"/>
        <w:outlineLvl w:val="1"/>
        <w:rPr>
          <w:rStyle w:val="afd"/>
          <w:rFonts w:ascii="Times New Roman" w:hAnsi="Times New Roman" w:cs="Times New Roman"/>
          <w:kern w:val="24"/>
          <w:sz w:val="28"/>
          <w:szCs w:val="28"/>
        </w:rPr>
      </w:pPr>
      <w:bookmarkStart w:id="3" w:name="_Toc403055615"/>
      <w:r w:rsidRPr="002E0B82">
        <w:rPr>
          <w:rFonts w:ascii="Times New Roman" w:hAnsi="Times New Roman" w:cs="Times New Roman"/>
          <w:kern w:val="24"/>
          <w:sz w:val="28"/>
          <w:szCs w:val="28"/>
        </w:rPr>
        <w:t>Операции по формированию банковских ресурсов</w:t>
      </w:r>
      <w:bookmarkEnd w:id="3"/>
    </w:p>
    <w:p w:rsid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Диверсифицируя свою деятельность, «АК БАРС» Банк постоянно расширяет круг проводимых на российском рынке операций и предоставляет клиентам широкий комплекс услуг, принятых в международной банковской практике: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открытие и ведение валютных и рублевых счетов;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расчетно-кассовое обслуживание, в т.ч. прием, пересчет и зачисление выручки на счета;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proofErr w:type="spellStart"/>
      <w:r w:rsidRPr="002E0B82">
        <w:rPr>
          <w:rFonts w:ascii="Times New Roman" w:hAnsi="Times New Roman" w:cs="Times New Roman"/>
          <w:kern w:val="24"/>
          <w:sz w:val="28"/>
          <w:szCs w:val="28"/>
        </w:rPr>
        <w:t>внутрироссийские</w:t>
      </w:r>
      <w:proofErr w:type="spellEnd"/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расчеты в рублях и валюте;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операции по покупке/продаже иностранной валюты за рубли, а также конверсионные операции иностранная валюта/иностранная валюта;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управление рублевыми и валютными ресурсами;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операции с банкнотами во всех свободно конвертируемых валютах;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операции по покупке, продаже, инкассированию векселей по поручениям клиентов;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кредитование в рублях и иностранной валюте;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выдача гарантий по операциям клиентов и банков-корреспондентов, а также по привлекаемым иностранным кредитам;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операции с депозитными сертификатами и векселями «АК БАРС» Банк;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выполнение функций агента валютного контроля;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ипотечное и потребительское кредитование населения;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выпуск и обслуживание международных пластиковых карт;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операции по покупке и продаже наличной иностранной валюты и платежных документов в иностранной валюте;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lastRenderedPageBreak/>
        <w:t>экспертиза подлинности и платежности денежных знаков, платежных документов;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сдача в аренду сейфовых ячеек в специально оборудованном хранилище;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оказание финансовых, консалтинговых и др. видов услуг.</w:t>
      </w:r>
    </w:p>
    <w:p w:rsidR="002E0B82" w:rsidRPr="002E0B82" w:rsidRDefault="002E0B82" w:rsidP="00B25B73">
      <w:pPr>
        <w:pStyle w:val="af"/>
        <w:numPr>
          <w:ilvl w:val="1"/>
          <w:numId w:val="6"/>
        </w:numPr>
        <w:tabs>
          <w:tab w:val="right" w:pos="1134"/>
        </w:tabs>
        <w:spacing w:line="360" w:lineRule="auto"/>
        <w:ind w:left="0" w:right="340" w:firstLine="709"/>
        <w:jc w:val="both"/>
        <w:rPr>
          <w:sz w:val="28"/>
          <w:szCs w:val="28"/>
        </w:rPr>
      </w:pPr>
      <w:r w:rsidRPr="002E0B82">
        <w:rPr>
          <w:sz w:val="28"/>
          <w:szCs w:val="28"/>
        </w:rPr>
        <w:t>операции на фондовом рынке.</w:t>
      </w:r>
    </w:p>
    <w:p w:rsidR="002E0B82" w:rsidRPr="002E0B82" w:rsidRDefault="002E0B82" w:rsidP="00B25B73">
      <w:pPr>
        <w:pStyle w:val="af"/>
        <w:numPr>
          <w:ilvl w:val="1"/>
          <w:numId w:val="6"/>
        </w:numPr>
        <w:tabs>
          <w:tab w:val="right" w:pos="1134"/>
        </w:tabs>
        <w:spacing w:line="360" w:lineRule="auto"/>
        <w:ind w:left="0" w:right="340" w:firstLine="709"/>
        <w:jc w:val="both"/>
        <w:rPr>
          <w:sz w:val="28"/>
          <w:szCs w:val="28"/>
        </w:rPr>
      </w:pPr>
      <w:r w:rsidRPr="002E0B82">
        <w:rPr>
          <w:sz w:val="28"/>
          <w:szCs w:val="28"/>
        </w:rPr>
        <w:t>доверительное управление.</w:t>
      </w:r>
    </w:p>
    <w:p w:rsidR="002E0B82" w:rsidRPr="002E0B82" w:rsidRDefault="002E0B82" w:rsidP="002E0B82">
      <w:pPr>
        <w:pStyle w:val="af"/>
        <w:spacing w:line="360" w:lineRule="auto"/>
        <w:ind w:right="340" w:firstLine="709"/>
        <w:jc w:val="both"/>
        <w:rPr>
          <w:sz w:val="28"/>
          <w:szCs w:val="28"/>
        </w:rPr>
      </w:pPr>
      <w:r w:rsidRPr="002E0B82">
        <w:rPr>
          <w:sz w:val="28"/>
          <w:szCs w:val="28"/>
        </w:rPr>
        <w:t>Что касается основных видов деятельности, здесь можно выделить: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кредитование физических лиц 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кредитование корпоративных клиентов</w:t>
      </w:r>
    </w:p>
    <w:p w:rsidR="002E0B82" w:rsidRPr="002E0B82" w:rsidRDefault="002E0B82" w:rsidP="00B25B73">
      <w:pPr>
        <w:pStyle w:val="a3"/>
        <w:numPr>
          <w:ilvl w:val="1"/>
          <w:numId w:val="6"/>
        </w:numPr>
        <w:tabs>
          <w:tab w:val="right" w:pos="1134"/>
        </w:tabs>
        <w:spacing w:after="0" w:line="360" w:lineRule="auto"/>
        <w:ind w:left="0"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ипотечное кредитование</w:t>
      </w:r>
    </w:p>
    <w:p w:rsidR="002E0B82" w:rsidRPr="002E0B82" w:rsidRDefault="002E0B82" w:rsidP="002E0B82">
      <w:pPr>
        <w:tabs>
          <w:tab w:val="right" w:pos="993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>Кредитование корпоративных клиентов является важнейшей составляющей Банка, так как приносит основной доход.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Поддержание и расширение взаимоотношений с клиентами является приоритетным направлением деятельности Банка. Среди клиентов филиала предприятия нефтяной и газовой промышленности, оборонного комплекса, черной и цветной металлургии, электроэнергетики, телекоммуникационной отрасли, страхования, пищевой промышленности. Кроме того, Банк предоставляет свои услуги целому ряду государственных предприятий и организаций.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В основах взаимоотношения банка с клиентами существует ряд установленных стандартов. Они должны проявляться при обслуживании клиентов. Рассмотрим некоторые из них:</w:t>
      </w:r>
    </w:p>
    <w:p w:rsidR="002E0B82" w:rsidRPr="002E0B82" w:rsidRDefault="002E0B82" w:rsidP="002E0B82">
      <w:pPr>
        <w:widowControl w:val="0"/>
        <w:tabs>
          <w:tab w:val="right" w:pos="709"/>
        </w:tabs>
        <w:autoSpaceDE w:val="0"/>
        <w:autoSpaceDN w:val="0"/>
        <w:adjustRightInd w:val="0"/>
        <w:spacing w:after="0" w:line="360" w:lineRule="auto"/>
        <w:ind w:left="709" w:right="340"/>
        <w:jc w:val="both"/>
        <w:rPr>
          <w:rFonts w:ascii="Times New Roman" w:hAnsi="Times New Roman" w:cs="Times New Roman"/>
          <w:kern w:val="24"/>
          <w:sz w:val="28"/>
          <w:szCs w:val="28"/>
        </w:rPr>
      </w:pPr>
    </w:p>
    <w:p w:rsidR="002E0B82" w:rsidRPr="002E0B82" w:rsidRDefault="002E0B82" w:rsidP="00B25B73">
      <w:pPr>
        <w:pStyle w:val="a3"/>
        <w:widowControl w:val="0"/>
        <w:numPr>
          <w:ilvl w:val="1"/>
          <w:numId w:val="1"/>
        </w:numPr>
        <w:tabs>
          <w:tab w:val="right" w:pos="709"/>
        </w:tabs>
        <w:autoSpaceDE w:val="0"/>
        <w:autoSpaceDN w:val="0"/>
        <w:adjustRightInd w:val="0"/>
        <w:spacing w:after="0" w:line="360" w:lineRule="auto"/>
        <w:ind w:left="1157" w:right="340" w:hanging="448"/>
        <w:jc w:val="center"/>
        <w:outlineLvl w:val="1"/>
        <w:rPr>
          <w:rFonts w:ascii="Times New Roman" w:hAnsi="Times New Roman" w:cs="Times New Roman"/>
          <w:kern w:val="24"/>
          <w:sz w:val="28"/>
          <w:szCs w:val="28"/>
        </w:rPr>
      </w:pPr>
      <w:bookmarkStart w:id="4" w:name="_Toc403055616"/>
      <w:r w:rsidRPr="002E0B82">
        <w:rPr>
          <w:rFonts w:ascii="Times New Roman" w:hAnsi="Times New Roman" w:cs="Times New Roman"/>
          <w:sz w:val="28"/>
          <w:szCs w:val="28"/>
        </w:rPr>
        <w:t>Кассовые операции, учетно-ссудные операции</w:t>
      </w:r>
      <w:bookmarkEnd w:id="4"/>
    </w:p>
    <w:p w:rsidR="002E0B82" w:rsidRDefault="002E0B82" w:rsidP="002E0B82">
      <w:pPr>
        <w:shd w:val="clear" w:color="auto" w:fill="FFFFFF"/>
        <w:spacing w:after="0" w:line="360" w:lineRule="auto"/>
        <w:ind w:right="340"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</w:p>
    <w:p w:rsidR="002E0B82" w:rsidRPr="002E0B82" w:rsidRDefault="002E0B82" w:rsidP="002E0B82">
      <w:pPr>
        <w:shd w:val="clear" w:color="auto" w:fill="FFFFFF"/>
        <w:spacing w:after="0" w:line="360" w:lineRule="auto"/>
        <w:ind w:right="340"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2E0B82">
        <w:rPr>
          <w:rFonts w:ascii="Times New Roman" w:hAnsi="Times New Roman" w:cs="Times New Roman"/>
          <w:color w:val="000000"/>
          <w:spacing w:val="1"/>
          <w:sz w:val="28"/>
          <w:szCs w:val="28"/>
        </w:rPr>
        <w:t>К активным операциям в общем случае относятся: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>кредитные (ссудные), учетно-ссудными;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lastRenderedPageBreak/>
        <w:t>фондовые — операции вложения банком собственных средств и/или средств клиентов (как правило, по их распоряжениям) в ценные бумаги на организованном и неорганизованном биржевом рынке;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>расчетные (расчетно-платежные) — в основном операции зачисления средств на счета клиентов и оплаты со счетов их обязательств перед другими лицами. Данные операции являются активными в том смысле, что для своевременного проведения платежей по собственным и клиентским обязательствам банку необходимо часть средств постоянно держать на корсчетах в ЦБ, других банках, расчетных (клиринговых) центрах;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>инвестиционные — операции вложения банком своих средств в акции и паи (т.е. в УК) других юр лиц в целях совместной хозяйственно-коммерческой деятельности, рассчитанной на получение прибыли в форме дивидендов;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 xml:space="preserve">комиссионные (операции которые проводятся за счет и по поручению клиента, приносят доход в виде </w:t>
      </w:r>
      <w:proofErr w:type="spellStart"/>
      <w:r w:rsidRPr="002E0B82">
        <w:rPr>
          <w:rFonts w:ascii="Times New Roman" w:hAnsi="Times New Roman" w:cs="Times New Roman"/>
          <w:sz w:val="28"/>
          <w:szCs w:val="28"/>
        </w:rPr>
        <w:t>комиссси</w:t>
      </w:r>
      <w:proofErr w:type="spellEnd"/>
      <w:r w:rsidRPr="002E0B82">
        <w:rPr>
          <w:rFonts w:ascii="Times New Roman" w:hAnsi="Times New Roman" w:cs="Times New Roman"/>
          <w:sz w:val="28"/>
          <w:szCs w:val="28"/>
        </w:rPr>
        <w:t xml:space="preserve"> - инкассирование, переводы, ПУРЦБ, лизинг, факторинг, ОФБУ, консультационные, образовательные) и гарантийные- выдача поручительства/ спец гарантий. 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>Валютные операции – операции с иностранной валютой и вал ценностями (операции связанные с переходом прав на вал ценности, ввоз и пересылку в РФ/из РФ вал ценностей, международные денежные переводы). Вал операции - также некоторые операции в рублях (открытие и ведение счетов нерезидентов)</w:t>
      </w:r>
    </w:p>
    <w:p w:rsidR="00F611C7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Кредитование корпоративных клиентов является важнейшей составляющей Банка при предоставлении банковских услуг этой категории клиентов. 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Банк занимается также ипотечным кредитованием. С целью расширения каналов продаж ипотечных кредитных продуктов Банк активизирует взаимодействие с корпоративными клиентами, с </w:t>
      </w:r>
      <w:r w:rsidRPr="002E0B82">
        <w:rPr>
          <w:rFonts w:ascii="Times New Roman" w:hAnsi="Times New Roman" w:cs="Times New Roman"/>
          <w:kern w:val="24"/>
          <w:sz w:val="28"/>
          <w:szCs w:val="28"/>
        </w:rPr>
        <w:lastRenderedPageBreak/>
        <w:t>Федеральным агентством по ипотечному жилищному кредитованию, с администрациями регионов и муниципальных образований, а также со строительными и риэлтерскими компаниями.</w:t>
      </w:r>
    </w:p>
    <w:p w:rsidR="002E0B82" w:rsidRPr="002E0B82" w:rsidRDefault="002E0B82" w:rsidP="002E0B82">
      <w:pPr>
        <w:pStyle w:val="af"/>
        <w:spacing w:line="360" w:lineRule="auto"/>
        <w:ind w:right="340" w:firstLine="709"/>
        <w:jc w:val="both"/>
        <w:rPr>
          <w:rFonts w:eastAsia="SimSun"/>
          <w:sz w:val="28"/>
          <w:szCs w:val="28"/>
          <w:lang w:eastAsia="zh-CN"/>
        </w:rPr>
      </w:pPr>
      <w:r w:rsidRPr="002E0B82">
        <w:rPr>
          <w:rFonts w:eastAsia="SimSun"/>
          <w:sz w:val="28"/>
          <w:szCs w:val="28"/>
          <w:lang w:eastAsia="zh-CN"/>
        </w:rPr>
        <w:t>На сегодняшний день в общем объеме розничного кредитного портфеля кредиты физическим лицам составляют 72%, кредиты малому бизнесу — 28%.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Привлечением крупных клиентов в Филиал в целях кредитования занимается клиентский отдел. Он также составляет список необходимых документов на получение кредита. В этом отделе применяется схема привлечения клиентов. Она состоит из следующих разделов:</w:t>
      </w:r>
    </w:p>
    <w:p w:rsidR="002E0B82" w:rsidRPr="002E0B82" w:rsidRDefault="002E0B82" w:rsidP="002E0B82">
      <w:pPr>
        <w:tabs>
          <w:tab w:val="left" w:pos="393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1. Определение круга потенциальных клиентов для Банка;</w:t>
      </w:r>
    </w:p>
    <w:p w:rsidR="002E0B82" w:rsidRPr="002E0B82" w:rsidRDefault="002E0B82" w:rsidP="002E0B82">
      <w:pPr>
        <w:tabs>
          <w:tab w:val="left" w:pos="393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2. Сбор информации по каждому из клиентов, используя различные средства: финансовое состояние; кредитная история; положение на рынке; перспективы его развития; потребность в его дальнейшем кредитовании; обслуживающие банки; доля Банка в его обслуживании.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3. Анализ по платежеспособности;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4. Написание писем, встречи с клиентом - формирование предложения по кредиту;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5. Сбор документов, проведение экспертизы - анализа компании;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6. Принятие решения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7. Составление заявления, кредитного договора.</w:t>
      </w:r>
    </w:p>
    <w:p w:rsidR="002E0B82" w:rsidRPr="002E0B82" w:rsidRDefault="002E0B82" w:rsidP="002E0B82">
      <w:pPr>
        <w:tabs>
          <w:tab w:val="left" w:pos="446"/>
          <w:tab w:val="left" w:pos="4027"/>
          <w:tab w:val="left" w:pos="8918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Предоставление Банком денежных средств клиенту - юр. лицу осуществляется на основе распоряжения, составляемого специалистами клиентского отдела и подписывается уполномоченным должностным лицом Банка. В распоряжении указываются номер и дата договора, сумма предоставляемых средств, срок уплаты процентов и размер процентной ставки, сроки погашения средств, цифровое обозначение группы кредитного риска, стоимость залога и другая необходимая информация.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Заемщику (юр. лицу) необходимо предоставить следующие основные документы: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lastRenderedPageBreak/>
        <w:t>Годовая бухгалтерская отчетность в полном объеме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>Бухгалтерский баланс на дату обращения за кредитом (форма №1)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>Отчет о прибылях и убытках (форма №2) на дату обращения за кредитом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>Бизнес-план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>Данные о состоянии кредиторской задолженности</w:t>
      </w:r>
    </w:p>
    <w:p w:rsidR="002E0B82" w:rsidRPr="002E0B82" w:rsidRDefault="002E0B82" w:rsidP="00B25B73">
      <w:pPr>
        <w:pStyle w:val="a3"/>
        <w:numPr>
          <w:ilvl w:val="1"/>
          <w:numId w:val="7"/>
        </w:numPr>
        <w:tabs>
          <w:tab w:val="left" w:pos="180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E0B82">
        <w:rPr>
          <w:rFonts w:ascii="Times New Roman" w:hAnsi="Times New Roman" w:cs="Times New Roman"/>
          <w:sz w:val="28"/>
          <w:szCs w:val="28"/>
        </w:rPr>
        <w:t xml:space="preserve">Справка об отсутствии у заемщика неоплаченных расчетных документов.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В соответствии с ФЗ «О банках и банковской деятельности» банки обязаны создавать резервы на возможные потери по предоставленным денежным средствам в порядке, установленном Банком России, для покрытия возможных потерь, связанных с </w:t>
      </w:r>
      <w:proofErr w:type="spellStart"/>
      <w:r w:rsidRPr="002E0B82">
        <w:rPr>
          <w:rFonts w:ascii="Times New Roman" w:hAnsi="Times New Roman" w:cs="Times New Roman"/>
          <w:kern w:val="24"/>
          <w:sz w:val="28"/>
          <w:szCs w:val="28"/>
        </w:rPr>
        <w:t>невозвратом</w:t>
      </w:r>
      <w:proofErr w:type="spellEnd"/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заемщиками полученных денежных средств. Формирование резервов осуществляется на основе Положения 254-П «О порядке формирования КО резервов на возможные потери по ссудам и приравненные к ней задолженности». Резерв на возможные потери по кредитным требованиям формируется в части основного долга. Формирование резерва осуществляется в валюте РФ независимо от валюты кредитного требования. </w:t>
      </w:r>
    </w:p>
    <w:p w:rsidR="002E0B82" w:rsidRDefault="002E0B82" w:rsidP="002E0B82">
      <w:pPr>
        <w:tabs>
          <w:tab w:val="right" w:pos="9499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kern w:val="24"/>
          <w:sz w:val="28"/>
          <w:szCs w:val="28"/>
        </w:rPr>
      </w:pPr>
    </w:p>
    <w:p w:rsidR="002E0B82" w:rsidRPr="002E0B82" w:rsidRDefault="002E0B82" w:rsidP="00B25B73">
      <w:pPr>
        <w:pStyle w:val="a3"/>
        <w:numPr>
          <w:ilvl w:val="1"/>
          <w:numId w:val="1"/>
        </w:numPr>
        <w:tabs>
          <w:tab w:val="right" w:pos="9499"/>
        </w:tabs>
        <w:spacing w:after="0" w:line="360" w:lineRule="auto"/>
        <w:ind w:left="1157" w:hanging="448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_Toc403055617"/>
      <w:r w:rsidRPr="002E0B82">
        <w:rPr>
          <w:rFonts w:ascii="Times New Roman" w:hAnsi="Times New Roman" w:cs="Times New Roman"/>
          <w:sz w:val="28"/>
          <w:szCs w:val="28"/>
        </w:rPr>
        <w:t>Операции банков с ценными бумагами</w:t>
      </w:r>
      <w:bookmarkEnd w:id="5"/>
    </w:p>
    <w:p w:rsid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«АК БАРС» Банк предоставляет физическим и юридическим лицам весь спектр услуг по операциям с ценными бумагами: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«АК БАРС» Банк оказывает услуги по осуществлению брокерских операций с государственными и корпоративными ценными бумагами на ОАО "ММВБ-РТС" и на внебиржевом рынке.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Банк осуществляет брокерское обслуживание:</w:t>
      </w:r>
    </w:p>
    <w:p w:rsidR="002E0B82" w:rsidRPr="002E0B82" w:rsidRDefault="002E0B82" w:rsidP="00B25B73">
      <w:pPr>
        <w:pStyle w:val="a3"/>
        <w:numPr>
          <w:ilvl w:val="0"/>
          <w:numId w:val="8"/>
        </w:numPr>
        <w:tabs>
          <w:tab w:val="left" w:pos="1418"/>
          <w:tab w:val="right" w:pos="9499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lastRenderedPageBreak/>
        <w:t xml:space="preserve">управляющих компаний инвестиционных и паевых инвестиционных фондов; </w:t>
      </w:r>
    </w:p>
    <w:p w:rsidR="002E0B82" w:rsidRPr="002E0B82" w:rsidRDefault="002E0B82" w:rsidP="00B25B73">
      <w:pPr>
        <w:pStyle w:val="a3"/>
        <w:numPr>
          <w:ilvl w:val="0"/>
          <w:numId w:val="8"/>
        </w:numPr>
        <w:tabs>
          <w:tab w:val="left" w:pos="1418"/>
          <w:tab w:val="right" w:pos="9499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негосударственных пенсионных фондов и доверительных управляющих; </w:t>
      </w:r>
    </w:p>
    <w:p w:rsidR="002E0B82" w:rsidRPr="002E0B82" w:rsidRDefault="002E0B82" w:rsidP="00B25B73">
      <w:pPr>
        <w:pStyle w:val="a3"/>
        <w:numPr>
          <w:ilvl w:val="0"/>
          <w:numId w:val="8"/>
        </w:numPr>
        <w:tabs>
          <w:tab w:val="left" w:pos="1418"/>
          <w:tab w:val="right" w:pos="9499"/>
        </w:tabs>
        <w:spacing w:after="0" w:line="360" w:lineRule="auto"/>
        <w:ind w:left="0" w:right="340" w:firstLine="851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клиентов, самостоятельно работающих на фондовом рынке и принимающих инвестиционные решения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Условия обслуживания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Клиент при помощи посредника (брокера) получает доступ к биржевым торгам для совершения сделок с ценными бумагами.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Обслуживание клиентов может осуществляться: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В стандартном режиме — посредством поручений на бумажном носителе, телефонной и факсимильной связи.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С использованием системы Интернет-трейдинга «ИТС-БРОКЕР», разработанной ЗАО «Нижегородская Валютно-Фондовая Биржа» (НВФБ).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Хранение и учет прав собственности на ценные бумаги осуществляется на счете депо, открытом в Депозитарии ОАО «АК БАРС» БАНК, что значительно сокращает процедуру и сроки исполнения ваших операций на рынке ценных бумаг.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Доверительное управление — это лицензируемая деятельность, направленная на получение дохода от инвестиций на фондовом и финансовом рынках.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При доверительном управлении клиент передает в распоряжение управляющему (инвестиционной, управляющей компании) денежные средства, акции или ценные бумаги для совершения торговых операций с целью получения дополнительного дохода.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Доверительное управление это удобное средство сохранения и приумножения средств в ситуациях, когда: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клиент не может уделить достаточно времени для самостоятельного осуществления сделок на фондовом рынке;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lastRenderedPageBreak/>
        <w:t xml:space="preserve"> у клиента недостаточно опыта управления собственными активами.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Клиент может выбрать удобный для него вариант управления активами, с учетом индивидуальных факторов доходности и риска инвестирования.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Результаты деятельности управляющего по управлению ценными бумагами в прошлом не определяют доходы учредителя управления в будущем. </w:t>
      </w:r>
    </w:p>
    <w:p w:rsidR="002E0B82" w:rsidRPr="002E0B82" w:rsidRDefault="002E0B82" w:rsidP="002E0B82">
      <w:pPr>
        <w:tabs>
          <w:tab w:val="right" w:pos="9499"/>
        </w:tabs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Подробную информацию о доверительном управлении, а также других услугах компании вы можете найти на сайте «АК БАРС Капитал».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ОАО «АК БАРС» Банк выпускает собственные простые дисконтные векселя. В качестве валюты векселя могут выступать рубли, доллары США или евро.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При указании в векселе оговорки эффективного платежа, подразумевающей оплату векселя исключительно в определенной иностранной валюте, такой вексель является валютной ценностью и обращается с учетом ограничений, установленных валютным законодательством РФ.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До наступления срока платежа по векселю Банк может выкупить собственный вексель по ставке досрочного учета.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Преимущества векселей «АК БАРС» Банка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Возможность получения дохода в установленный в векселе (и/или по договоре) срок. 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Ликвидность: векселя Банка пользуются устойчивым спросом на вексельном рынке и могут быть реализованы другим банкам или финансовым компаниям. 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Простота оформления: клиенту не нужно открывать счет и уведомлять об этом налоговые органы. 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Возможность использования векселя в качестве обеспечения при оформлении в Банке кредитов, аккредитивов и соглашений о предоставлении банковских гарантий. 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lastRenderedPageBreak/>
        <w:t xml:space="preserve">Возможность использования векселя в качестве обеспечения при оформлении кредитов в других банках. 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Вексель может служить платежным средством и использоваться в расчетах за проданные товары или оказанные услуги. 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Вексель можно передать посредством индоссамента (передаточной надписи) другому лицу, которому передается право на получение платежа от векселедателя.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Маржинальное кредитование — предоставление клиенту кредита, займа в виде ценных бумаг. В качестве обеспечения выступают собственные активы клиента, исходя из размера которых рассчитывается максимальная сумма </w:t>
      </w:r>
      <w:proofErr w:type="spellStart"/>
      <w:r w:rsidRPr="002E0B82">
        <w:rPr>
          <w:rFonts w:ascii="Times New Roman" w:hAnsi="Times New Roman" w:cs="Times New Roman"/>
          <w:kern w:val="24"/>
          <w:sz w:val="28"/>
          <w:szCs w:val="28"/>
        </w:rPr>
        <w:t>заема</w:t>
      </w:r>
      <w:proofErr w:type="spellEnd"/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 (маржинальный лимит).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ОАО «АК БАРС» БАНК предоставляет услугу маржинального кредитования совместно с ЗАО ИК «АК БАРС </w:t>
      </w:r>
      <w:proofErr w:type="spellStart"/>
      <w:r w:rsidRPr="002E0B82">
        <w:rPr>
          <w:rFonts w:ascii="Times New Roman" w:hAnsi="Times New Roman" w:cs="Times New Roman"/>
          <w:kern w:val="24"/>
          <w:sz w:val="28"/>
          <w:szCs w:val="28"/>
        </w:rPr>
        <w:t>Финанс</w:t>
      </w:r>
      <w:proofErr w:type="spellEnd"/>
      <w:r w:rsidRPr="002E0B82">
        <w:rPr>
          <w:rFonts w:ascii="Times New Roman" w:hAnsi="Times New Roman" w:cs="Times New Roman"/>
          <w:kern w:val="24"/>
          <w:sz w:val="28"/>
          <w:szCs w:val="28"/>
        </w:rPr>
        <w:t>».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 xml:space="preserve">Ознакомиться с технологией использования услуги маржинального кредитования можно на сайте «АК БАРС </w:t>
      </w:r>
      <w:proofErr w:type="spellStart"/>
      <w:r w:rsidRPr="002E0B82">
        <w:rPr>
          <w:rFonts w:ascii="Times New Roman" w:hAnsi="Times New Roman" w:cs="Times New Roman"/>
          <w:kern w:val="24"/>
          <w:sz w:val="28"/>
          <w:szCs w:val="28"/>
        </w:rPr>
        <w:t>Финанс</w:t>
      </w:r>
      <w:proofErr w:type="spellEnd"/>
      <w:r w:rsidRPr="002E0B82">
        <w:rPr>
          <w:rFonts w:ascii="Times New Roman" w:hAnsi="Times New Roman" w:cs="Times New Roman"/>
          <w:kern w:val="24"/>
          <w:sz w:val="28"/>
          <w:szCs w:val="28"/>
        </w:rPr>
        <w:t>».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Для тех, кто желает самостоятельно заключать сделки на бирже в режиме реального времени, «АК БАРС» Банк разработал специальную услугу «Интернет-трейдинг». Услуга позволяет клиентам Банка покупать и продавать ценные бумаги через интернет.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Для осуществления торговых сделок используется система интернет-трейдинга «</w:t>
      </w:r>
      <w:proofErr w:type="spellStart"/>
      <w:r w:rsidRPr="002E0B82">
        <w:rPr>
          <w:rFonts w:ascii="Times New Roman" w:hAnsi="Times New Roman" w:cs="Times New Roman"/>
          <w:kern w:val="24"/>
          <w:sz w:val="28"/>
          <w:szCs w:val="28"/>
        </w:rPr>
        <w:t>ИТС-Брокер</w:t>
      </w:r>
      <w:proofErr w:type="spellEnd"/>
      <w:r w:rsidRPr="002E0B82">
        <w:rPr>
          <w:rFonts w:ascii="Times New Roman" w:hAnsi="Times New Roman" w:cs="Times New Roman"/>
          <w:kern w:val="24"/>
          <w:sz w:val="28"/>
          <w:szCs w:val="28"/>
        </w:rPr>
        <w:t>», разработанная ЗАО «Нижегородская Валютно-Фондовая Биржа» (НВФБ).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Система обеспечивает максимально быстрый, надежный и удобный доступ инвесторов к торгам.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  <w:r w:rsidRPr="002E0B82">
        <w:rPr>
          <w:rFonts w:ascii="Times New Roman" w:hAnsi="Times New Roman" w:cs="Times New Roman"/>
          <w:kern w:val="24"/>
          <w:sz w:val="28"/>
          <w:szCs w:val="28"/>
        </w:rPr>
        <w:t>ОАО «АК БАРС» БАНК предоставляет для покупки еврооблигации, номинированные в долларах США.</w:t>
      </w:r>
    </w:p>
    <w:p w:rsidR="002E0B82" w:rsidRPr="002E0B82" w:rsidRDefault="002E0B82" w:rsidP="002E0B82">
      <w:pPr>
        <w:spacing w:after="0" w:line="360" w:lineRule="auto"/>
        <w:ind w:right="340" w:firstLine="709"/>
        <w:jc w:val="both"/>
        <w:rPr>
          <w:rFonts w:ascii="Times New Roman" w:hAnsi="Times New Roman" w:cs="Times New Roman"/>
          <w:b/>
          <w:bCs/>
          <w:kern w:val="24"/>
          <w:sz w:val="28"/>
          <w:szCs w:val="28"/>
        </w:rPr>
      </w:pPr>
    </w:p>
    <w:p w:rsidR="002E0B82" w:rsidRPr="002E0B82" w:rsidRDefault="002E0B82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24"/>
          <w:sz w:val="28"/>
          <w:szCs w:val="28"/>
        </w:rPr>
      </w:pPr>
    </w:p>
    <w:p w:rsidR="002E0B82" w:rsidRDefault="002E0B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33D2D" w:rsidRPr="00733D2D" w:rsidRDefault="00733D2D" w:rsidP="00B25B73">
      <w:pPr>
        <w:pStyle w:val="a3"/>
        <w:numPr>
          <w:ilvl w:val="0"/>
          <w:numId w:val="1"/>
        </w:num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6" w:name="_Toc403055618"/>
      <w:r w:rsidRPr="00733D2D">
        <w:rPr>
          <w:rFonts w:ascii="Times New Roman" w:hAnsi="Times New Roman" w:cs="Times New Roman"/>
          <w:b/>
          <w:sz w:val="28"/>
          <w:szCs w:val="28"/>
        </w:rPr>
        <w:lastRenderedPageBreak/>
        <w:t>Анализ финансового состояния ОАО «АК БАРС»</w:t>
      </w:r>
      <w:bookmarkEnd w:id="6"/>
    </w:p>
    <w:p w:rsidR="008763FE" w:rsidRDefault="008763FE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ОАО «АК БАРС» БАНК постепенно наращивает основные показатели своей деятельности, что подтверждается динамикой роста его активов и увеличением прибыли в отчетном году. Активы Банка за 2013 год увеличились с 336,6 млрд. рублей на 7,9%, составив 363,2 млрд.руб. Финансовым итогом деятельности Банка за 2013 год стало получение чистой прибыли в сумме 938,2 млн.руб. Объем чистой (за минусом резерва на возможные потери) кредитной задолженности  составил на 1 января 2014г. 227,4 млрд.руб. Привлеченные средства клиентов достигли 240,3 млрд.руб., в т.ч. средства населения – 71,4 млрд.руб. Собственный капитал Банка (по Положению № 215-П) составил на конец 2013 года 50,2 млрд.руб. Оплаченный Уставный капитал составляет 28,2 млрд. руб.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Вопрос о распределении чистой прибыли Банка по итогам финансового 2013 года будет рассматриваться на заседании Совета директоров Банка, которое состоится  24 апреля 2014 года.</w:t>
      </w:r>
    </w:p>
    <w:p w:rsidR="00733D2D" w:rsidRDefault="00733D2D" w:rsidP="002E0B82">
      <w:pPr>
        <w:pStyle w:val="aff5"/>
        <w:spacing w:after="0" w:line="360" w:lineRule="auto"/>
        <w:ind w:firstLine="709"/>
        <w:jc w:val="right"/>
        <w:outlineLvl w:val="9"/>
        <w:rPr>
          <w:rFonts w:ascii="Times New Roman" w:hAnsi="Times New Roman"/>
          <w:sz w:val="28"/>
          <w:szCs w:val="28"/>
        </w:rPr>
      </w:pPr>
      <w:bookmarkStart w:id="7" w:name="_Toc383769785"/>
      <w:r>
        <w:rPr>
          <w:rFonts w:ascii="Times New Roman" w:hAnsi="Times New Roman"/>
          <w:sz w:val="28"/>
          <w:szCs w:val="28"/>
        </w:rPr>
        <w:t>Таблица 3.1</w:t>
      </w:r>
    </w:p>
    <w:p w:rsidR="00733D2D" w:rsidRPr="00733D2D" w:rsidRDefault="00733D2D" w:rsidP="002E0B82">
      <w:pPr>
        <w:pStyle w:val="aff5"/>
        <w:spacing w:after="0" w:line="360" w:lineRule="auto"/>
        <w:ind w:firstLine="709"/>
        <w:outlineLvl w:val="9"/>
        <w:rPr>
          <w:rFonts w:ascii="Times New Roman" w:hAnsi="Times New Roman"/>
          <w:sz w:val="28"/>
          <w:szCs w:val="28"/>
        </w:rPr>
      </w:pPr>
      <w:r w:rsidRPr="00733D2D">
        <w:rPr>
          <w:rFonts w:ascii="Times New Roman" w:hAnsi="Times New Roman"/>
          <w:sz w:val="28"/>
          <w:szCs w:val="28"/>
        </w:rPr>
        <w:t>Финансовые активы, оцениваемые по справедливой стоимости через прибыль или убыток</w:t>
      </w:r>
      <w:bookmarkEnd w:id="7"/>
      <w:r>
        <w:rPr>
          <w:rFonts w:ascii="Times New Roman" w:hAnsi="Times New Roman"/>
          <w:sz w:val="28"/>
          <w:szCs w:val="28"/>
        </w:rPr>
        <w:t>, тыс.руб.</w:t>
      </w:r>
    </w:p>
    <w:tbl>
      <w:tblPr>
        <w:tblW w:w="9412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6271"/>
        <w:gridCol w:w="1571"/>
        <w:gridCol w:w="1570"/>
      </w:tblGrid>
      <w:tr w:rsidR="00733D2D" w:rsidRPr="00733D2D" w:rsidTr="00733D2D">
        <w:trPr>
          <w:cantSplit/>
          <w:trHeight w:val="19"/>
        </w:trPr>
        <w:tc>
          <w:tcPr>
            <w:tcW w:w="6271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Финансовые активы</w:t>
            </w:r>
          </w:p>
        </w:tc>
        <w:tc>
          <w:tcPr>
            <w:tcW w:w="1571" w:type="dxa"/>
          </w:tcPr>
          <w:p w:rsidR="00733D2D" w:rsidRPr="00733D2D" w:rsidRDefault="00733D2D" w:rsidP="002E0B82">
            <w:pPr>
              <w:pStyle w:val="Columnheader"/>
              <w:tabs>
                <w:tab w:val="clear" w:pos="1503"/>
              </w:tabs>
              <w:spacing w:line="240" w:lineRule="auto"/>
              <w:ind w:left="-56" w:right="57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на 01.01.2014</w:t>
            </w:r>
          </w:p>
        </w:tc>
        <w:tc>
          <w:tcPr>
            <w:tcW w:w="1570" w:type="dxa"/>
          </w:tcPr>
          <w:p w:rsidR="00733D2D" w:rsidRPr="00733D2D" w:rsidRDefault="00733D2D" w:rsidP="002E0B82">
            <w:pPr>
              <w:pStyle w:val="Columnheader"/>
              <w:tabs>
                <w:tab w:val="clear" w:pos="1503"/>
              </w:tabs>
              <w:spacing w:line="240" w:lineRule="auto"/>
              <w:ind w:left="-56" w:right="57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на 01.01.2013</w:t>
            </w:r>
          </w:p>
        </w:tc>
      </w:tr>
      <w:tr w:rsidR="00733D2D" w:rsidRPr="00733D2D" w:rsidTr="00733D2D">
        <w:trPr>
          <w:cantSplit/>
          <w:trHeight w:val="221"/>
        </w:trPr>
        <w:tc>
          <w:tcPr>
            <w:tcW w:w="62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Облигации федерального займа (ОФЗ)</w:t>
            </w:r>
          </w:p>
        </w:tc>
        <w:tc>
          <w:tcPr>
            <w:tcW w:w="15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23 730 355</w:t>
            </w:r>
          </w:p>
        </w:tc>
        <w:tc>
          <w:tcPr>
            <w:tcW w:w="1570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8 939 457</w:t>
            </w:r>
          </w:p>
        </w:tc>
      </w:tr>
      <w:tr w:rsidR="00733D2D" w:rsidRPr="00733D2D" w:rsidTr="00733D2D">
        <w:trPr>
          <w:cantSplit/>
          <w:trHeight w:val="409"/>
        </w:trPr>
        <w:tc>
          <w:tcPr>
            <w:tcW w:w="62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8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Муниципальные облигации</w:t>
            </w:r>
          </w:p>
        </w:tc>
        <w:tc>
          <w:tcPr>
            <w:tcW w:w="15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1 088 933</w:t>
            </w:r>
          </w:p>
        </w:tc>
        <w:tc>
          <w:tcPr>
            <w:tcW w:w="1570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1 367 173</w:t>
            </w:r>
          </w:p>
        </w:tc>
      </w:tr>
      <w:tr w:rsidR="00733D2D" w:rsidRPr="00733D2D" w:rsidTr="00733D2D">
        <w:trPr>
          <w:cantSplit/>
          <w:trHeight w:val="475"/>
        </w:trPr>
        <w:tc>
          <w:tcPr>
            <w:tcW w:w="62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Итого долговых ценных бумаг</w:t>
            </w:r>
          </w:p>
        </w:tc>
        <w:tc>
          <w:tcPr>
            <w:tcW w:w="15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24 819 288</w:t>
            </w:r>
          </w:p>
        </w:tc>
        <w:tc>
          <w:tcPr>
            <w:tcW w:w="1570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10 306 630</w:t>
            </w:r>
          </w:p>
        </w:tc>
      </w:tr>
      <w:tr w:rsidR="00733D2D" w:rsidRPr="00733D2D" w:rsidTr="00733D2D">
        <w:trPr>
          <w:cantSplit/>
          <w:trHeight w:val="409"/>
        </w:trPr>
        <w:tc>
          <w:tcPr>
            <w:tcW w:w="62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Корпоративные акции, в т.ч.</w:t>
            </w:r>
          </w:p>
        </w:tc>
        <w:tc>
          <w:tcPr>
            <w:tcW w:w="15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959 532</w:t>
            </w:r>
          </w:p>
        </w:tc>
        <w:tc>
          <w:tcPr>
            <w:tcW w:w="1570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1 571 838</w:t>
            </w:r>
          </w:p>
        </w:tc>
      </w:tr>
      <w:tr w:rsidR="00733D2D" w:rsidRPr="00733D2D" w:rsidTr="00733D2D">
        <w:trPr>
          <w:cantSplit/>
          <w:trHeight w:val="269"/>
        </w:trPr>
        <w:tc>
          <w:tcPr>
            <w:tcW w:w="62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в долларах США</w:t>
            </w:r>
          </w:p>
        </w:tc>
        <w:tc>
          <w:tcPr>
            <w:tcW w:w="15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51 051</w:t>
            </w:r>
          </w:p>
        </w:tc>
        <w:tc>
          <w:tcPr>
            <w:tcW w:w="1570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46 560</w:t>
            </w:r>
          </w:p>
        </w:tc>
      </w:tr>
      <w:tr w:rsidR="00733D2D" w:rsidRPr="00733D2D" w:rsidTr="00733D2D">
        <w:trPr>
          <w:cantSplit/>
          <w:trHeight w:val="471"/>
        </w:trPr>
        <w:tc>
          <w:tcPr>
            <w:tcW w:w="62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Итого долевых ценных бумаг</w:t>
            </w:r>
          </w:p>
        </w:tc>
        <w:tc>
          <w:tcPr>
            <w:tcW w:w="15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959 532</w:t>
            </w:r>
          </w:p>
        </w:tc>
        <w:tc>
          <w:tcPr>
            <w:tcW w:w="1570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1 571 838</w:t>
            </w:r>
          </w:p>
        </w:tc>
      </w:tr>
      <w:tr w:rsidR="00733D2D" w:rsidRPr="00733D2D" w:rsidTr="00733D2D">
        <w:trPr>
          <w:cantSplit/>
          <w:trHeight w:val="368"/>
        </w:trPr>
        <w:tc>
          <w:tcPr>
            <w:tcW w:w="62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Валютно-процентный своп</w:t>
            </w:r>
          </w:p>
        </w:tc>
        <w:tc>
          <w:tcPr>
            <w:tcW w:w="15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594 937</w:t>
            </w:r>
          </w:p>
        </w:tc>
        <w:tc>
          <w:tcPr>
            <w:tcW w:w="1570" w:type="dxa"/>
            <w:vAlign w:val="center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0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0</w:t>
            </w:r>
          </w:p>
        </w:tc>
      </w:tr>
      <w:tr w:rsidR="00733D2D" w:rsidRPr="00733D2D" w:rsidTr="00733D2D">
        <w:trPr>
          <w:cantSplit/>
          <w:trHeight w:val="19"/>
        </w:trPr>
        <w:tc>
          <w:tcPr>
            <w:tcW w:w="6271" w:type="dxa"/>
            <w:vAlign w:val="center"/>
          </w:tcPr>
          <w:p w:rsidR="00733D2D" w:rsidRPr="00F611C7" w:rsidRDefault="00733D2D" w:rsidP="002E0B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Опцион «пут» с ценными бумагами</w:t>
            </w:r>
          </w:p>
        </w:tc>
        <w:tc>
          <w:tcPr>
            <w:tcW w:w="15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174 622</w:t>
            </w:r>
          </w:p>
        </w:tc>
        <w:tc>
          <w:tcPr>
            <w:tcW w:w="1570" w:type="dxa"/>
            <w:vAlign w:val="center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0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0</w:t>
            </w:r>
          </w:p>
        </w:tc>
      </w:tr>
      <w:tr w:rsidR="00733D2D" w:rsidRPr="00733D2D" w:rsidTr="00733D2D">
        <w:trPr>
          <w:cantSplit/>
          <w:trHeight w:val="427"/>
        </w:trPr>
        <w:tc>
          <w:tcPr>
            <w:tcW w:w="62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Итого  производных финансовых инструментов</w:t>
            </w:r>
          </w:p>
        </w:tc>
        <w:tc>
          <w:tcPr>
            <w:tcW w:w="15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769 560</w:t>
            </w:r>
          </w:p>
        </w:tc>
        <w:tc>
          <w:tcPr>
            <w:tcW w:w="1570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33D2D" w:rsidRPr="00733D2D" w:rsidTr="00B83F0B">
        <w:trPr>
          <w:cantSplit/>
          <w:trHeight w:val="669"/>
        </w:trPr>
        <w:tc>
          <w:tcPr>
            <w:tcW w:w="62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Итого финансовых активов, отражаемых по справедливой стоимости через прибыль или убыток</w:t>
            </w:r>
          </w:p>
        </w:tc>
        <w:tc>
          <w:tcPr>
            <w:tcW w:w="157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26 548 380</w:t>
            </w:r>
          </w:p>
        </w:tc>
        <w:tc>
          <w:tcPr>
            <w:tcW w:w="1570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11 878 468</w:t>
            </w:r>
          </w:p>
        </w:tc>
      </w:tr>
    </w:tbl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lastRenderedPageBreak/>
        <w:t>ОФЗ являются государственными долговыми ценными бумагами, выпущенными Министерством финансов Российской Федерации с номиналом в российских рублях. Данные облигации обращаются на ММВБ, других российских фондовых биржах и на внебиржевом рынке. На 1 января 2014 года ОФЗ имеют сроки погашения с марта 2014 года по январь 2028 года (2012 г.: с января 2013 года по февраль 2027 года), купонный доход от 6,20% до 8,15% годовых (2012 г.: от 6,5% до 12,0% годовых).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 Муниципальные облигации являются долговыми ценными бумагами, выпущенными муниципальными образованиями и субъектами Российской Федерации, с номиналом в российских рублях. Эти облигации обращаются на ММВБ, других российских фондовых биржах и на внебиржевом рынке. На 1 января 2014 года данные облигации имеют сроки погашения с июня 2014 года по июнь 2022 года (2012 г.: с июня 2013 года по май 2015 года), купонный доход от 7,0% до 12,0% годовых (2012 г.: от 7,8% до 15,0% годовых).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Корпоративные акции представлены акциями российских компаний. Большинство корпоративных акций свободно обращаются в России.</w:t>
      </w:r>
    </w:p>
    <w:p w:rsidR="00733D2D" w:rsidRPr="00733D2D" w:rsidRDefault="00733D2D" w:rsidP="002E0B82">
      <w:pPr>
        <w:pStyle w:val="9"/>
        <w:tabs>
          <w:tab w:val="left" w:pos="1985"/>
        </w:tabs>
        <w:spacing w:line="360" w:lineRule="auto"/>
        <w:ind w:firstLine="709"/>
        <w:jc w:val="right"/>
        <w:rPr>
          <w:szCs w:val="28"/>
        </w:rPr>
      </w:pPr>
      <w:r>
        <w:rPr>
          <w:szCs w:val="28"/>
        </w:rPr>
        <w:t>Таблица 3.3</w:t>
      </w:r>
    </w:p>
    <w:p w:rsidR="00733D2D" w:rsidRPr="00733D2D" w:rsidRDefault="00733D2D" w:rsidP="002E0B82">
      <w:pPr>
        <w:pStyle w:val="aff5"/>
        <w:spacing w:after="0" w:line="360" w:lineRule="auto"/>
        <w:ind w:firstLine="709"/>
        <w:outlineLvl w:val="9"/>
        <w:rPr>
          <w:rFonts w:ascii="Times New Roman" w:hAnsi="Times New Roman"/>
          <w:sz w:val="28"/>
          <w:szCs w:val="28"/>
        </w:rPr>
      </w:pPr>
      <w:bookmarkStart w:id="8" w:name="_Toc383769787"/>
      <w:r w:rsidRPr="00733D2D">
        <w:rPr>
          <w:rFonts w:ascii="Times New Roman" w:hAnsi="Times New Roman"/>
          <w:sz w:val="28"/>
          <w:szCs w:val="28"/>
        </w:rPr>
        <w:t>Ссудная и приравненная к ней задолженность</w:t>
      </w:r>
      <w:bookmarkEnd w:id="8"/>
      <w:r>
        <w:rPr>
          <w:rFonts w:ascii="Times New Roman" w:hAnsi="Times New Roman"/>
          <w:sz w:val="28"/>
          <w:szCs w:val="28"/>
        </w:rPr>
        <w:t>, тыс.руб.</w:t>
      </w:r>
    </w:p>
    <w:tbl>
      <w:tblPr>
        <w:tblW w:w="9498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5954"/>
        <w:gridCol w:w="1701"/>
        <w:gridCol w:w="1843"/>
      </w:tblGrid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pStyle w:val="RRthousands"/>
              <w:ind w:firstLine="0"/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i w:val="0"/>
                <w:sz w:val="24"/>
                <w:szCs w:val="24"/>
                <w:lang w:val="ru-RU"/>
              </w:rPr>
              <w:t>Показатели</w:t>
            </w:r>
          </w:p>
        </w:tc>
        <w:tc>
          <w:tcPr>
            <w:tcW w:w="1701" w:type="dxa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на 01.01.2014</w:t>
            </w:r>
          </w:p>
        </w:tc>
        <w:tc>
          <w:tcPr>
            <w:tcW w:w="1843" w:type="dxa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на 01.01.2013</w:t>
            </w: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i/>
                <w:sz w:val="24"/>
                <w:szCs w:val="24"/>
              </w:rPr>
              <w:t>Средства в других банках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Межбанковские кредиты и депозиты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493 434</w:t>
            </w: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3</w:t>
            </w: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 </w:t>
            </w: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634</w:t>
            </w: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 xml:space="preserve"> </w:t>
            </w: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476</w:t>
            </w: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i/>
                <w:sz w:val="24"/>
                <w:szCs w:val="24"/>
              </w:rPr>
              <w:t>Кредиты юридическим лицам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Корпоративные кредиты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141 715 653</w:t>
            </w: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128 274 015</w:t>
            </w: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Кредиты малому и среднему бизнесу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36 162 050</w:t>
            </w: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46 635 476</w:t>
            </w: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 xml:space="preserve">Договоры покупки и обратной продажи («обратное </w:t>
            </w:r>
            <w:proofErr w:type="spellStart"/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репо</w:t>
            </w:r>
            <w:proofErr w:type="spellEnd"/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7 463 088</w:t>
            </w: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8 812 383</w:t>
            </w: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Кредиты государственным и общественным организациям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2 144 965</w:t>
            </w: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2 981 011</w:t>
            </w: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i/>
                <w:sz w:val="24"/>
                <w:szCs w:val="24"/>
              </w:rPr>
              <w:t>Кредиты физическим лицам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Жилищные кредиты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140 817</w:t>
            </w: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174 187</w:t>
            </w: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 xml:space="preserve">Ипотечные кредиты 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20 540 784</w:t>
            </w: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16 286 323</w:t>
            </w: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Автокредиты</w:t>
            </w:r>
            <w:proofErr w:type="spellEnd"/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5 231 939</w:t>
            </w: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4 843 836</w:t>
            </w:r>
          </w:p>
        </w:tc>
      </w:tr>
      <w:tr w:rsidR="00733D2D" w:rsidRPr="00733D2D" w:rsidTr="00733D2D">
        <w:trPr>
          <w:trHeight w:val="20"/>
        </w:trPr>
        <w:tc>
          <w:tcPr>
            <w:tcW w:w="5954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Потребительские кредиты</w:t>
            </w:r>
          </w:p>
        </w:tc>
        <w:tc>
          <w:tcPr>
            <w:tcW w:w="1701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28 949 661</w:t>
            </w:r>
          </w:p>
        </w:tc>
        <w:tc>
          <w:tcPr>
            <w:tcW w:w="1843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22 107 112</w:t>
            </w:r>
          </w:p>
        </w:tc>
      </w:tr>
      <w:tr w:rsidR="00733D2D" w:rsidRPr="00733D2D" w:rsidTr="00B83F0B">
        <w:trPr>
          <w:trHeight w:val="293"/>
        </w:trPr>
        <w:tc>
          <w:tcPr>
            <w:tcW w:w="5954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Итого ссудная задолженность</w:t>
            </w:r>
          </w:p>
        </w:tc>
        <w:tc>
          <w:tcPr>
            <w:tcW w:w="1701" w:type="dxa"/>
            <w:vAlign w:val="center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242 842 391</w:t>
            </w:r>
          </w:p>
        </w:tc>
        <w:tc>
          <w:tcPr>
            <w:tcW w:w="1843" w:type="dxa"/>
            <w:vAlign w:val="center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233 748 819</w:t>
            </w:r>
          </w:p>
        </w:tc>
      </w:tr>
      <w:tr w:rsidR="00733D2D" w:rsidRPr="00733D2D" w:rsidTr="00B83F0B">
        <w:trPr>
          <w:trHeight w:val="273"/>
        </w:trPr>
        <w:tc>
          <w:tcPr>
            <w:tcW w:w="5954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Резервы на возможные потери</w:t>
            </w:r>
          </w:p>
        </w:tc>
        <w:tc>
          <w:tcPr>
            <w:tcW w:w="1701" w:type="dxa"/>
            <w:vAlign w:val="center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0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(</w:t>
            </w: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15 422 170</w:t>
            </w: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)</w:t>
            </w:r>
          </w:p>
        </w:tc>
        <w:tc>
          <w:tcPr>
            <w:tcW w:w="1843" w:type="dxa"/>
            <w:vAlign w:val="center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0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(14 969 806)</w:t>
            </w:r>
          </w:p>
        </w:tc>
      </w:tr>
      <w:tr w:rsidR="00733D2D" w:rsidRPr="00733D2D" w:rsidTr="00B83F0B">
        <w:trPr>
          <w:trHeight w:val="273"/>
        </w:trPr>
        <w:tc>
          <w:tcPr>
            <w:tcW w:w="5954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Итого чистая ссудная задолженность</w:t>
            </w:r>
          </w:p>
        </w:tc>
        <w:tc>
          <w:tcPr>
            <w:tcW w:w="1701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227 420 221</w:t>
            </w:r>
          </w:p>
        </w:tc>
        <w:tc>
          <w:tcPr>
            <w:tcW w:w="1843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218 779 013</w:t>
            </w:r>
          </w:p>
        </w:tc>
      </w:tr>
    </w:tbl>
    <w:p w:rsidR="00733D2D" w:rsidRDefault="00733D2D" w:rsidP="002E0B82">
      <w:pPr>
        <w:pStyle w:val="9"/>
        <w:tabs>
          <w:tab w:val="left" w:pos="1985"/>
        </w:tabs>
        <w:spacing w:line="360" w:lineRule="auto"/>
        <w:ind w:firstLine="709"/>
        <w:jc w:val="right"/>
        <w:rPr>
          <w:szCs w:val="28"/>
        </w:rPr>
      </w:pPr>
      <w:r>
        <w:rPr>
          <w:szCs w:val="28"/>
        </w:rPr>
        <w:lastRenderedPageBreak/>
        <w:t>Таблица 3.5</w:t>
      </w:r>
    </w:p>
    <w:p w:rsidR="00733D2D" w:rsidRPr="00733D2D" w:rsidRDefault="00733D2D" w:rsidP="002E0B8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Ссудная задолженность в разрезе сроков, оставшихся до погашения</w:t>
      </w:r>
      <w:r>
        <w:rPr>
          <w:rFonts w:ascii="Times New Roman" w:hAnsi="Times New Roman" w:cs="Times New Roman"/>
          <w:sz w:val="28"/>
          <w:szCs w:val="28"/>
        </w:rPr>
        <w:t>, тыс.руб.</w:t>
      </w:r>
    </w:p>
    <w:tbl>
      <w:tblPr>
        <w:tblW w:w="9356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4820"/>
        <w:gridCol w:w="2126"/>
        <w:gridCol w:w="2410"/>
      </w:tblGrid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pStyle w:val="RRthousands"/>
              <w:ind w:firstLine="0"/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/>
                <w:i w:val="0"/>
                <w:sz w:val="24"/>
                <w:szCs w:val="24"/>
                <w:lang w:val="ru-RU"/>
              </w:rPr>
              <w:t>Показатели</w:t>
            </w:r>
          </w:p>
        </w:tc>
        <w:tc>
          <w:tcPr>
            <w:tcW w:w="2126" w:type="dxa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на 01.01.2014</w:t>
            </w:r>
          </w:p>
        </w:tc>
        <w:tc>
          <w:tcPr>
            <w:tcW w:w="2410" w:type="dxa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на 01.01.2013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9 289 203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8 </w:t>
            </w: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052 169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До востребования и на 1 день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1 </w:t>
            </w: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684 168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2 </w:t>
            </w: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821 629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До 5 дней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28 903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6 686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До 10 дней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788 424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10 893 807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До 20 дней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4 001 682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1 731 597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До 30 дней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1 041 279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3 168 542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До 90 дней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13 920 065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18 361 707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До 180 дней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22 731 464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24 154 498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До 270 дней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13 368 630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14 419 799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До 1 года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15 600 976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13 954 952</w:t>
            </w:r>
          </w:p>
        </w:tc>
      </w:tr>
      <w:tr w:rsidR="00733D2D" w:rsidRPr="00733D2D" w:rsidTr="00733D2D">
        <w:trPr>
          <w:trHeight w:val="20"/>
        </w:trPr>
        <w:tc>
          <w:tcPr>
            <w:tcW w:w="4820" w:type="dxa"/>
            <w:vAlign w:val="bottom"/>
          </w:tcPr>
          <w:p w:rsidR="00733D2D" w:rsidRPr="00733D2D" w:rsidRDefault="00733D2D" w:rsidP="002E0B82">
            <w:pPr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Свыше 1 года</w:t>
            </w:r>
          </w:p>
        </w:tc>
        <w:tc>
          <w:tcPr>
            <w:tcW w:w="2126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160 387 597</w:t>
            </w:r>
          </w:p>
        </w:tc>
        <w:tc>
          <w:tcPr>
            <w:tcW w:w="2410" w:type="dxa"/>
            <w:vAlign w:val="bottom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136 183 433</w:t>
            </w:r>
          </w:p>
        </w:tc>
      </w:tr>
      <w:tr w:rsidR="00733D2D" w:rsidRPr="00733D2D" w:rsidTr="00733D2D">
        <w:trPr>
          <w:trHeight w:val="623"/>
        </w:trPr>
        <w:tc>
          <w:tcPr>
            <w:tcW w:w="4820" w:type="dxa"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 xml:space="preserve">Итого ссудная задолженность  </w:t>
            </w:r>
          </w:p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 xml:space="preserve">(до вычета резервов на возможные потери) </w:t>
            </w:r>
          </w:p>
        </w:tc>
        <w:tc>
          <w:tcPr>
            <w:tcW w:w="2126" w:type="dxa"/>
            <w:vAlign w:val="center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242 842 391</w:t>
            </w:r>
          </w:p>
        </w:tc>
        <w:tc>
          <w:tcPr>
            <w:tcW w:w="2410" w:type="dxa"/>
            <w:vAlign w:val="center"/>
          </w:tcPr>
          <w:p w:rsidR="00733D2D" w:rsidRPr="00733D2D" w:rsidRDefault="00733D2D" w:rsidP="002E0B82">
            <w:pPr>
              <w:pStyle w:val="Columnheader"/>
              <w:keepNext/>
              <w:keepLines/>
              <w:tabs>
                <w:tab w:val="clear" w:pos="1503"/>
              </w:tabs>
              <w:spacing w:line="240" w:lineRule="auto"/>
              <w:ind w:right="57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233 748 819</w:t>
            </w:r>
          </w:p>
        </w:tc>
      </w:tr>
    </w:tbl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Pr="00733D2D" w:rsidRDefault="00733D2D" w:rsidP="002E0B82">
      <w:pPr>
        <w:pStyle w:val="ABC-paragrahinNotes"/>
        <w:spacing w:after="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733D2D">
        <w:rPr>
          <w:rFonts w:ascii="Times New Roman" w:hAnsi="Times New Roman"/>
          <w:sz w:val="28"/>
          <w:szCs w:val="28"/>
          <w:lang w:val="ru-RU"/>
        </w:rPr>
        <w:t xml:space="preserve">Корпоративные облигации представлены долговыми ценными бумагами с номиналом в российских рублях, выпущенными крупными российскими компаниями и банками. Эти облигации обращаются на ММВБ, других российских фондовых биржах и на внебиржевом рынке. На 1 января 2014 года данные облигации имеют сроки погашения с февраля 2014 года по январь 2028 года (2012 г.: с апреля 2013 года по март 2022 года), купонный доход от 7,1% до 15,0% годовых (2012 г.: от 7,0% до 15,0% годовых). 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Корпоративные еврооблигации представлены долговыми ценными бумагами с номиналом в долларах США и евро, выпущенными крупными российскими компаниями и свободно обращающимися на международном рынке. По состоянию на 1 января 2014 года данные облигации имеют сроки погашения с декабря 2014 года по январь 2024 года (2012 г: с июля 2013 года по март 2015 года), купонный доход от 9,5% до 11,5% (2012 г: от 9,5% до 10,0%). </w:t>
      </w:r>
    </w:p>
    <w:p w:rsidR="00733D2D" w:rsidRPr="00733D2D" w:rsidRDefault="00733D2D" w:rsidP="002E0B82">
      <w:pPr>
        <w:pStyle w:val="ABC-paragrahinNotes"/>
        <w:spacing w:after="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733D2D">
        <w:rPr>
          <w:rFonts w:ascii="Times New Roman" w:hAnsi="Times New Roman"/>
          <w:sz w:val="28"/>
          <w:szCs w:val="28"/>
          <w:lang w:val="ru-RU"/>
        </w:rPr>
        <w:t xml:space="preserve">Муниципальные облигации являются долговыми ценными бумагами, выпущенными муниципальными образованиями и субъектами Российской </w:t>
      </w:r>
      <w:r w:rsidRPr="00733D2D">
        <w:rPr>
          <w:rFonts w:ascii="Times New Roman" w:hAnsi="Times New Roman"/>
          <w:sz w:val="28"/>
          <w:szCs w:val="28"/>
          <w:lang w:val="ru-RU"/>
        </w:rPr>
        <w:lastRenderedPageBreak/>
        <w:t xml:space="preserve">Федерации, с номиналом в российских рублях. На 1 января 2014 года данные облигации имеют срок погашения май 2015 г. (2012 г.: май 2015 года). </w:t>
      </w:r>
    </w:p>
    <w:p w:rsidR="00733D2D" w:rsidRPr="00733D2D" w:rsidRDefault="00733D2D" w:rsidP="002E0B82">
      <w:pPr>
        <w:pStyle w:val="ABC-paragrahinNotes"/>
        <w:spacing w:after="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733D2D">
        <w:rPr>
          <w:rFonts w:ascii="Times New Roman" w:hAnsi="Times New Roman"/>
          <w:sz w:val="28"/>
          <w:szCs w:val="28"/>
          <w:lang w:val="ru-RU"/>
        </w:rPr>
        <w:t>Корпоративные акции представлены акциями российских компаний. Большинство корпоративных акций свободно обращаются в России.</w:t>
      </w:r>
    </w:p>
    <w:p w:rsidR="00733D2D" w:rsidRPr="00733D2D" w:rsidRDefault="00733D2D" w:rsidP="002E0B82">
      <w:pPr>
        <w:pStyle w:val="ABC-paragrahinNotes"/>
        <w:spacing w:after="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733D2D">
        <w:rPr>
          <w:rFonts w:ascii="Times New Roman" w:hAnsi="Times New Roman"/>
          <w:sz w:val="28"/>
          <w:szCs w:val="28"/>
          <w:lang w:val="ru-RU"/>
        </w:rPr>
        <w:t>Глобальные депозитарные расписки представлены правами на акции крупных российских компаний, которые обращающиеся на международных биржах.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Инвестиции в паевые инвестиционные фонды не имеют определенного контрактного срока и деноминированы в российских рублях.</w:t>
      </w:r>
    </w:p>
    <w:p w:rsidR="00733D2D" w:rsidRDefault="00733D2D" w:rsidP="002E0B82">
      <w:pPr>
        <w:pStyle w:val="aff5"/>
        <w:spacing w:after="0" w:line="360" w:lineRule="auto"/>
        <w:ind w:firstLine="709"/>
        <w:jc w:val="right"/>
        <w:outlineLvl w:val="9"/>
        <w:rPr>
          <w:rFonts w:ascii="Times New Roman" w:hAnsi="Times New Roman"/>
          <w:sz w:val="28"/>
          <w:szCs w:val="28"/>
        </w:rPr>
      </w:pPr>
      <w:bookmarkStart w:id="9" w:name="_Toc383769789"/>
      <w:r>
        <w:rPr>
          <w:rFonts w:ascii="Times New Roman" w:hAnsi="Times New Roman"/>
          <w:sz w:val="28"/>
          <w:szCs w:val="28"/>
        </w:rPr>
        <w:t>Таблица 3.8</w:t>
      </w:r>
    </w:p>
    <w:p w:rsidR="00733D2D" w:rsidRPr="00733D2D" w:rsidRDefault="00733D2D" w:rsidP="002E0B82">
      <w:pPr>
        <w:pStyle w:val="aff5"/>
        <w:spacing w:after="0" w:line="360" w:lineRule="auto"/>
        <w:ind w:firstLine="709"/>
        <w:outlineLvl w:val="9"/>
        <w:rPr>
          <w:rFonts w:ascii="Times New Roman" w:hAnsi="Times New Roman"/>
          <w:sz w:val="28"/>
          <w:szCs w:val="28"/>
        </w:rPr>
      </w:pPr>
      <w:r w:rsidRPr="00733D2D">
        <w:rPr>
          <w:rFonts w:ascii="Times New Roman" w:hAnsi="Times New Roman"/>
          <w:sz w:val="28"/>
          <w:szCs w:val="28"/>
        </w:rPr>
        <w:t>Объем и структура финансовых вложений в дочерние и зависимые организации</w:t>
      </w:r>
      <w:bookmarkEnd w:id="9"/>
      <w:r>
        <w:rPr>
          <w:rFonts w:ascii="Times New Roman" w:hAnsi="Times New Roman"/>
          <w:sz w:val="28"/>
          <w:szCs w:val="28"/>
        </w:rPr>
        <w:t>, тыс.руб.</w:t>
      </w:r>
    </w:p>
    <w:tbl>
      <w:tblPr>
        <w:tblW w:w="9923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3969"/>
        <w:gridCol w:w="1543"/>
        <w:gridCol w:w="1434"/>
        <w:gridCol w:w="1417"/>
        <w:gridCol w:w="1560"/>
      </w:tblGrid>
      <w:tr w:rsidR="00733D2D" w:rsidRPr="00733D2D" w:rsidTr="00B83F0B">
        <w:trPr>
          <w:trHeight w:val="113"/>
        </w:trPr>
        <w:tc>
          <w:tcPr>
            <w:tcW w:w="3969" w:type="dxa"/>
            <w:vMerge w:val="restart"/>
            <w:vAlign w:val="center"/>
          </w:tcPr>
          <w:p w:rsidR="00733D2D" w:rsidRPr="00733D2D" w:rsidRDefault="00733D2D" w:rsidP="002E0B82">
            <w:pPr>
              <w:pStyle w:val="Tabletext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Показатели</w:t>
            </w:r>
          </w:p>
        </w:tc>
        <w:tc>
          <w:tcPr>
            <w:tcW w:w="2977" w:type="dxa"/>
            <w:gridSpan w:val="2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-8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b/>
                <w:sz w:val="24"/>
                <w:szCs w:val="24"/>
              </w:rPr>
              <w:t>на 01.01.2014</w:t>
            </w:r>
          </w:p>
        </w:tc>
        <w:tc>
          <w:tcPr>
            <w:tcW w:w="2977" w:type="dxa"/>
            <w:gridSpan w:val="2"/>
            <w:vAlign w:val="center"/>
          </w:tcPr>
          <w:p w:rsidR="00733D2D" w:rsidRPr="00733D2D" w:rsidRDefault="00733D2D" w:rsidP="002E0B82">
            <w:pPr>
              <w:spacing w:after="0" w:line="240" w:lineRule="auto"/>
              <w:ind w:left="-8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b/>
                <w:sz w:val="24"/>
                <w:szCs w:val="24"/>
              </w:rPr>
              <w:t>На 01.01.2013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Merge/>
            <w:vAlign w:val="center"/>
          </w:tcPr>
          <w:p w:rsidR="00733D2D" w:rsidRPr="00733D2D" w:rsidRDefault="00733D2D" w:rsidP="002E0B82">
            <w:pPr>
              <w:pStyle w:val="Tabletext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3" w:type="dxa"/>
          </w:tcPr>
          <w:p w:rsidR="00733D2D" w:rsidRPr="00733D2D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  <w:tc>
          <w:tcPr>
            <w:tcW w:w="1434" w:type="dxa"/>
          </w:tcPr>
          <w:p w:rsidR="00733D2D" w:rsidRPr="00733D2D" w:rsidRDefault="00733D2D" w:rsidP="002E0B82">
            <w:pPr>
              <w:pStyle w:val="Columnheader"/>
              <w:tabs>
                <w:tab w:val="clear" w:pos="1503"/>
                <w:tab w:val="decimal" w:pos="0"/>
              </w:tabs>
              <w:spacing w:line="240" w:lineRule="auto"/>
              <w:ind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Доля в уставном капитале,</w:t>
            </w:r>
            <w:r w:rsidRPr="00733D2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</w:tcPr>
          <w:p w:rsidR="00733D2D" w:rsidRPr="00733D2D" w:rsidRDefault="00733D2D" w:rsidP="002E0B82">
            <w:pPr>
              <w:pStyle w:val="Columnheader"/>
              <w:tabs>
                <w:tab w:val="clear" w:pos="1503"/>
                <w:tab w:val="decimal" w:pos="85"/>
              </w:tabs>
              <w:spacing w:line="240" w:lineRule="auto"/>
              <w:ind w:left="-54" w:right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Сумма</w:t>
            </w:r>
          </w:p>
        </w:tc>
        <w:tc>
          <w:tcPr>
            <w:tcW w:w="1560" w:type="dxa"/>
          </w:tcPr>
          <w:p w:rsidR="00733D2D" w:rsidRPr="00733D2D" w:rsidRDefault="00733D2D" w:rsidP="002E0B82">
            <w:pPr>
              <w:pStyle w:val="Columnheader"/>
              <w:tabs>
                <w:tab w:val="clear" w:pos="1503"/>
                <w:tab w:val="decimal" w:pos="86"/>
              </w:tabs>
              <w:spacing w:line="240" w:lineRule="auto"/>
              <w:ind w:left="-54" w:righ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Доля в уставном капитале,</w:t>
            </w:r>
            <w:r w:rsidRPr="00733D2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Align w:val="bottom"/>
          </w:tcPr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ОАО «Национальная страховая компания Татарстан»</w:t>
            </w:r>
          </w:p>
        </w:tc>
        <w:tc>
          <w:tcPr>
            <w:tcW w:w="1543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225 000</w:t>
            </w:r>
          </w:p>
        </w:tc>
        <w:tc>
          <w:tcPr>
            <w:tcW w:w="1434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225 000</w:t>
            </w:r>
          </w:p>
        </w:tc>
        <w:tc>
          <w:tcPr>
            <w:tcW w:w="1560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Align w:val="bottom"/>
          </w:tcPr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ОАО «Центр развития земельных отношений Республики Татарстан»</w:t>
            </w:r>
          </w:p>
        </w:tc>
        <w:tc>
          <w:tcPr>
            <w:tcW w:w="1543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5 000</w:t>
            </w:r>
          </w:p>
        </w:tc>
        <w:tc>
          <w:tcPr>
            <w:tcW w:w="1434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7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5 000</w:t>
            </w:r>
          </w:p>
        </w:tc>
        <w:tc>
          <w:tcPr>
            <w:tcW w:w="1560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Align w:val="bottom"/>
          </w:tcPr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ОАО «Транспортная Карта»</w:t>
            </w:r>
          </w:p>
        </w:tc>
        <w:tc>
          <w:tcPr>
            <w:tcW w:w="1543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5 100</w:t>
            </w:r>
          </w:p>
        </w:tc>
        <w:tc>
          <w:tcPr>
            <w:tcW w:w="1434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417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5 100</w:t>
            </w:r>
          </w:p>
        </w:tc>
        <w:tc>
          <w:tcPr>
            <w:tcW w:w="1560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Align w:val="bottom"/>
          </w:tcPr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ОАО «Социальная карта»</w:t>
            </w:r>
          </w:p>
        </w:tc>
        <w:tc>
          <w:tcPr>
            <w:tcW w:w="1543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1 000</w:t>
            </w:r>
          </w:p>
        </w:tc>
        <w:tc>
          <w:tcPr>
            <w:tcW w:w="1434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1 000</w:t>
            </w:r>
          </w:p>
        </w:tc>
        <w:tc>
          <w:tcPr>
            <w:tcW w:w="1560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Align w:val="bottom"/>
          </w:tcPr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ОАО Лизинговая компания</w:t>
            </w:r>
          </w:p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АК БАРС Банка «Финансовая Экономическая Группа»</w:t>
            </w:r>
          </w:p>
        </w:tc>
        <w:tc>
          <w:tcPr>
            <w:tcW w:w="1543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251 336</w:t>
            </w:r>
          </w:p>
        </w:tc>
        <w:tc>
          <w:tcPr>
            <w:tcW w:w="1434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251 336</w:t>
            </w:r>
          </w:p>
        </w:tc>
        <w:tc>
          <w:tcPr>
            <w:tcW w:w="1560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Align w:val="bottom"/>
          </w:tcPr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ЗАО ИК «</w:t>
            </w:r>
            <w:proofErr w:type="spellStart"/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Ак</w:t>
            </w:r>
            <w:proofErr w:type="spellEnd"/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Барс </w:t>
            </w:r>
            <w:proofErr w:type="spellStart"/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Финанс</w:t>
            </w:r>
            <w:proofErr w:type="spellEnd"/>
          </w:p>
        </w:tc>
        <w:tc>
          <w:tcPr>
            <w:tcW w:w="1543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155 660</w:t>
            </w:r>
          </w:p>
        </w:tc>
        <w:tc>
          <w:tcPr>
            <w:tcW w:w="1434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155 660</w:t>
            </w:r>
          </w:p>
        </w:tc>
        <w:tc>
          <w:tcPr>
            <w:tcW w:w="1560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Align w:val="bottom"/>
          </w:tcPr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ООО «АК БАРС Галерея</w:t>
            </w:r>
          </w:p>
        </w:tc>
        <w:tc>
          <w:tcPr>
            <w:tcW w:w="1543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20 000</w:t>
            </w:r>
          </w:p>
        </w:tc>
        <w:tc>
          <w:tcPr>
            <w:tcW w:w="1434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20 000</w:t>
            </w:r>
          </w:p>
        </w:tc>
        <w:tc>
          <w:tcPr>
            <w:tcW w:w="1560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Align w:val="bottom"/>
          </w:tcPr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ООО «</w:t>
            </w:r>
            <w:proofErr w:type="spellStart"/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Ак</w:t>
            </w:r>
            <w:proofErr w:type="spellEnd"/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Барс Ипотека»</w:t>
            </w:r>
          </w:p>
        </w:tc>
        <w:tc>
          <w:tcPr>
            <w:tcW w:w="1543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500 010</w:t>
            </w:r>
          </w:p>
        </w:tc>
        <w:tc>
          <w:tcPr>
            <w:tcW w:w="1434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500 010</w:t>
            </w:r>
          </w:p>
        </w:tc>
        <w:tc>
          <w:tcPr>
            <w:tcW w:w="1560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Align w:val="bottom"/>
          </w:tcPr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ООО «Страховая компания </w:t>
            </w:r>
          </w:p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sz w:val="24"/>
                <w:szCs w:val="24"/>
                <w:lang w:val="ru-RU"/>
              </w:rPr>
              <w:t>«АК БАРС-Мед»</w:t>
            </w:r>
          </w:p>
        </w:tc>
        <w:tc>
          <w:tcPr>
            <w:tcW w:w="1543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150 000</w:t>
            </w:r>
          </w:p>
        </w:tc>
        <w:tc>
          <w:tcPr>
            <w:tcW w:w="1434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150 000</w:t>
            </w:r>
          </w:p>
        </w:tc>
        <w:tc>
          <w:tcPr>
            <w:tcW w:w="1560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33D2D" w:rsidRPr="00733D2D" w:rsidTr="00B83F0B">
        <w:trPr>
          <w:trHeight w:val="113"/>
        </w:trPr>
        <w:tc>
          <w:tcPr>
            <w:tcW w:w="3969" w:type="dxa"/>
            <w:vAlign w:val="center"/>
          </w:tcPr>
          <w:p w:rsidR="00733D2D" w:rsidRPr="00733D2D" w:rsidRDefault="00733D2D" w:rsidP="002E0B82">
            <w:pPr>
              <w:pStyle w:val="Tabletext"/>
              <w:ind w:firstLine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733D2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Итого вложений в дочерние и зависимые организации</w:t>
            </w:r>
          </w:p>
        </w:tc>
        <w:tc>
          <w:tcPr>
            <w:tcW w:w="1543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1 313 106</w:t>
            </w:r>
          </w:p>
        </w:tc>
        <w:tc>
          <w:tcPr>
            <w:tcW w:w="1434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33D2D">
              <w:rPr>
                <w:rFonts w:ascii="Times New Roman" w:hAnsi="Times New Roman" w:cs="Times New Roman"/>
                <w:sz w:val="24"/>
                <w:szCs w:val="24"/>
              </w:rPr>
              <w:t>1 313 106</w:t>
            </w:r>
          </w:p>
        </w:tc>
        <w:tc>
          <w:tcPr>
            <w:tcW w:w="1560" w:type="dxa"/>
            <w:vAlign w:val="center"/>
          </w:tcPr>
          <w:p w:rsidR="00733D2D" w:rsidRPr="00733D2D" w:rsidRDefault="00733D2D" w:rsidP="002E0B82">
            <w:pPr>
              <w:tabs>
                <w:tab w:val="decimal" w:pos="-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Pr="00733D2D" w:rsidRDefault="00733D2D" w:rsidP="00B83F0B">
      <w:pPr>
        <w:pStyle w:val="aff5"/>
        <w:spacing w:after="0" w:line="360" w:lineRule="auto"/>
        <w:ind w:firstLine="709"/>
        <w:jc w:val="both"/>
        <w:outlineLvl w:val="9"/>
        <w:rPr>
          <w:rFonts w:ascii="Times New Roman" w:hAnsi="Times New Roman"/>
          <w:sz w:val="28"/>
          <w:szCs w:val="28"/>
        </w:rPr>
      </w:pPr>
      <w:r w:rsidRPr="00733D2D">
        <w:rPr>
          <w:rFonts w:ascii="Times New Roman" w:hAnsi="Times New Roman"/>
          <w:sz w:val="28"/>
          <w:szCs w:val="28"/>
        </w:rPr>
        <w:t xml:space="preserve">Финансовые активы, имеющиеся в наличии для продажи, переданные без прекращения признания, представляют собой ценные бумаги, которые проданы по договорам </w:t>
      </w:r>
      <w:proofErr w:type="spellStart"/>
      <w:r w:rsidRPr="00733D2D">
        <w:rPr>
          <w:rFonts w:ascii="Times New Roman" w:hAnsi="Times New Roman"/>
          <w:sz w:val="28"/>
          <w:szCs w:val="28"/>
        </w:rPr>
        <w:t>репо</w:t>
      </w:r>
      <w:proofErr w:type="spellEnd"/>
      <w:r w:rsidRPr="00733D2D">
        <w:rPr>
          <w:rFonts w:ascii="Times New Roman" w:hAnsi="Times New Roman"/>
          <w:sz w:val="28"/>
          <w:szCs w:val="28"/>
        </w:rPr>
        <w:t xml:space="preserve">. На 1 января 2014 года договоры </w:t>
      </w:r>
      <w:proofErr w:type="spellStart"/>
      <w:r w:rsidRPr="00733D2D">
        <w:rPr>
          <w:rFonts w:ascii="Times New Roman" w:hAnsi="Times New Roman"/>
          <w:sz w:val="28"/>
          <w:szCs w:val="28"/>
        </w:rPr>
        <w:t>репо</w:t>
      </w:r>
      <w:proofErr w:type="spellEnd"/>
      <w:r w:rsidRPr="00733D2D">
        <w:rPr>
          <w:rFonts w:ascii="Times New Roman" w:hAnsi="Times New Roman"/>
          <w:sz w:val="28"/>
          <w:szCs w:val="28"/>
        </w:rPr>
        <w:t xml:space="preserve"> имели краткосрочный характер, и имели срок погашения до июля 2014 года (2012 г.: до июля 2013 года).</w:t>
      </w:r>
    </w:p>
    <w:p w:rsidR="00733D2D" w:rsidRPr="00F611C7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733D2D" w:rsidRPr="00F611C7" w:rsidSect="002E0B82">
          <w:footerReference w:type="even" r:id="rId8"/>
          <w:footerReference w:type="default" r:id="rId9"/>
          <w:pgSz w:w="11906" w:h="16838"/>
          <w:pgMar w:top="1134" w:right="851" w:bottom="1134" w:left="1701" w:header="720" w:footer="720" w:gutter="0"/>
          <w:pgNumType w:start="2"/>
          <w:cols w:space="720"/>
          <w:titlePg/>
          <w:docGrid w:linePitch="272"/>
        </w:sectPr>
      </w:pPr>
    </w:p>
    <w:p w:rsidR="00733D2D" w:rsidRDefault="00733D2D" w:rsidP="002E0B82">
      <w:pPr>
        <w:pStyle w:val="aff5"/>
        <w:spacing w:after="0" w:line="360" w:lineRule="auto"/>
        <w:ind w:firstLine="709"/>
        <w:jc w:val="right"/>
        <w:outlineLvl w:val="9"/>
        <w:rPr>
          <w:rFonts w:ascii="Times New Roman" w:hAnsi="Times New Roman"/>
          <w:sz w:val="28"/>
          <w:szCs w:val="28"/>
        </w:rPr>
      </w:pPr>
      <w:bookmarkStart w:id="10" w:name="_Toc383769793"/>
      <w:r>
        <w:rPr>
          <w:rFonts w:ascii="Times New Roman" w:hAnsi="Times New Roman"/>
          <w:sz w:val="28"/>
          <w:szCs w:val="28"/>
        </w:rPr>
        <w:lastRenderedPageBreak/>
        <w:t>Таблица 3.9</w:t>
      </w:r>
    </w:p>
    <w:p w:rsidR="00733D2D" w:rsidRPr="00733D2D" w:rsidRDefault="00733D2D" w:rsidP="002E0B82">
      <w:pPr>
        <w:pStyle w:val="aff5"/>
        <w:spacing w:after="0" w:line="360" w:lineRule="auto"/>
        <w:ind w:firstLine="709"/>
        <w:outlineLvl w:val="9"/>
        <w:rPr>
          <w:rFonts w:ascii="Times New Roman" w:hAnsi="Times New Roman"/>
          <w:sz w:val="28"/>
          <w:szCs w:val="28"/>
        </w:rPr>
      </w:pPr>
      <w:r w:rsidRPr="00733D2D">
        <w:rPr>
          <w:rFonts w:ascii="Times New Roman" w:hAnsi="Times New Roman"/>
          <w:sz w:val="28"/>
          <w:szCs w:val="28"/>
        </w:rPr>
        <w:t>Состав, структура, стоимость основных средств, нематериальных активов, а также объектов недвижимости, временно неиспользуемых в основной деятельности</w:t>
      </w:r>
      <w:bookmarkEnd w:id="10"/>
      <w:r>
        <w:rPr>
          <w:rFonts w:ascii="Times New Roman" w:hAnsi="Times New Roman"/>
          <w:sz w:val="28"/>
          <w:szCs w:val="28"/>
        </w:rPr>
        <w:t>, тыс.руб.</w:t>
      </w:r>
    </w:p>
    <w:tbl>
      <w:tblPr>
        <w:tblW w:w="160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4"/>
        <w:gridCol w:w="1417"/>
        <w:gridCol w:w="1559"/>
        <w:gridCol w:w="993"/>
        <w:gridCol w:w="1559"/>
        <w:gridCol w:w="1417"/>
        <w:gridCol w:w="1276"/>
        <w:gridCol w:w="1275"/>
        <w:gridCol w:w="1277"/>
        <w:gridCol w:w="1418"/>
        <w:gridCol w:w="1196"/>
      </w:tblGrid>
      <w:tr w:rsidR="00733D2D" w:rsidRPr="00C127EE" w:rsidTr="00C127EE">
        <w:trPr>
          <w:trHeight w:val="747"/>
        </w:trPr>
        <w:tc>
          <w:tcPr>
            <w:tcW w:w="2694" w:type="dxa"/>
            <w:shd w:val="clear" w:color="000000" w:fill="FFFFFF"/>
            <w:vAlign w:val="center"/>
            <w:hideMark/>
          </w:tcPr>
          <w:p w:rsidR="00733D2D" w:rsidRPr="00C127EE" w:rsidRDefault="00C127EE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</w:pPr>
            <w:r w:rsidRPr="00C127EE"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733D2D" w:rsidRPr="00C127EE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Здания</w:t>
            </w:r>
          </w:p>
        </w:tc>
        <w:tc>
          <w:tcPr>
            <w:tcW w:w="1559" w:type="dxa"/>
            <w:shd w:val="clear" w:color="000000" w:fill="FFFFFF"/>
            <w:vAlign w:val="bottom"/>
            <w:hideMark/>
          </w:tcPr>
          <w:p w:rsidR="00733D2D" w:rsidRPr="00C127EE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127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в т.ч. объекты недвижимости, временно неиспользуемые в основной деятельности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733D2D" w:rsidRPr="00C127EE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Земля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733D2D" w:rsidRPr="00C127EE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Банковское и офисное оборудование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733D2D" w:rsidRPr="00C127EE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Вычисли-тельная</w:t>
            </w:r>
            <w:proofErr w:type="spellEnd"/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техника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733D2D" w:rsidRPr="00C127EE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Транспорт-ные</w:t>
            </w:r>
            <w:proofErr w:type="spellEnd"/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средства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733D2D" w:rsidRPr="00C127EE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ОС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:rsidR="00733D2D" w:rsidRPr="00C127EE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НМА</w:t>
            </w:r>
          </w:p>
        </w:tc>
        <w:tc>
          <w:tcPr>
            <w:tcW w:w="1418" w:type="dxa"/>
            <w:shd w:val="clear" w:color="000000" w:fill="FFFFFF"/>
            <w:vAlign w:val="bottom"/>
            <w:hideMark/>
          </w:tcPr>
          <w:p w:rsidR="00733D2D" w:rsidRPr="00C127EE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Земля, временно </w:t>
            </w:r>
            <w:proofErr w:type="spellStart"/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неиспольз</w:t>
            </w:r>
            <w:proofErr w:type="spellEnd"/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в основной </w:t>
            </w:r>
            <w:proofErr w:type="spellStart"/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деят-сти</w:t>
            </w:r>
            <w:proofErr w:type="spellEnd"/>
          </w:p>
        </w:tc>
        <w:tc>
          <w:tcPr>
            <w:tcW w:w="1196" w:type="dxa"/>
            <w:shd w:val="clear" w:color="000000" w:fill="FFFFFF"/>
            <w:vAlign w:val="center"/>
            <w:hideMark/>
          </w:tcPr>
          <w:p w:rsidR="00733D2D" w:rsidRPr="00C127EE" w:rsidRDefault="00733D2D" w:rsidP="002E0B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127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</w:tr>
      <w:tr w:rsidR="00733D2D" w:rsidRPr="00733D2D" w:rsidTr="00C127EE">
        <w:trPr>
          <w:trHeight w:val="420"/>
        </w:trPr>
        <w:tc>
          <w:tcPr>
            <w:tcW w:w="2694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Балансовая стоимость        на 1 января 2013 года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1 611 897 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175 713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35 377 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714 639 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449 095 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183 177 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778 760 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79 569 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2 605</w:t>
            </w:r>
          </w:p>
        </w:tc>
        <w:tc>
          <w:tcPr>
            <w:tcW w:w="1196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3 855 119 </w:t>
            </w:r>
          </w:p>
        </w:tc>
      </w:tr>
      <w:tr w:rsidR="00733D2D" w:rsidRPr="00733D2D" w:rsidTr="00C127EE">
        <w:trPr>
          <w:trHeight w:val="315"/>
        </w:trPr>
        <w:tc>
          <w:tcPr>
            <w:tcW w:w="2694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Накопленная амортизация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-228 376 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             -     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                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-429 377 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-416 889 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-108 169 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-281 571 </w:t>
            </w:r>
          </w:p>
        </w:tc>
        <w:tc>
          <w:tcPr>
            <w:tcW w:w="1277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-22 453 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                             </w:t>
            </w:r>
          </w:p>
        </w:tc>
        <w:tc>
          <w:tcPr>
            <w:tcW w:w="1196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-1 486 836 </w:t>
            </w:r>
          </w:p>
        </w:tc>
      </w:tr>
      <w:tr w:rsidR="00733D2D" w:rsidRPr="00733D2D" w:rsidTr="00C127EE">
        <w:trPr>
          <w:trHeight w:val="390"/>
        </w:trPr>
        <w:tc>
          <w:tcPr>
            <w:tcW w:w="2694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Остаточная стоимость     на 1 января 2013 года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1 383 521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175 713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35 377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285 261 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32 206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75 008 </w:t>
            </w:r>
          </w:p>
        </w:tc>
        <w:tc>
          <w:tcPr>
            <w:tcW w:w="1275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497 189 </w:t>
            </w:r>
          </w:p>
        </w:tc>
        <w:tc>
          <w:tcPr>
            <w:tcW w:w="127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57 116 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2 605</w:t>
            </w:r>
          </w:p>
        </w:tc>
        <w:tc>
          <w:tcPr>
            <w:tcW w:w="1196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2 368 283 </w:t>
            </w:r>
          </w:p>
        </w:tc>
      </w:tr>
      <w:tr w:rsidR="00733D2D" w:rsidRPr="00733D2D" w:rsidTr="00C127EE">
        <w:trPr>
          <w:trHeight w:val="315"/>
        </w:trPr>
        <w:tc>
          <w:tcPr>
            <w:tcW w:w="2694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Поступление </w:t>
            </w:r>
            <w:r w:rsidRPr="00733D2D">
              <w:rPr>
                <w:rStyle w:val="afd"/>
                <w:rFonts w:ascii="Times New Roman" w:hAnsi="Times New Roman" w:cs="Times New Roman"/>
                <w:sz w:val="20"/>
                <w:szCs w:val="20"/>
              </w:rPr>
              <w:footnoteReference w:id="1"/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118 838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-4 868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1 388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153 578 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72 657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42 959 </w:t>
            </w:r>
          </w:p>
        </w:tc>
        <w:tc>
          <w:tcPr>
            <w:tcW w:w="1275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86 779 </w:t>
            </w:r>
          </w:p>
        </w:tc>
        <w:tc>
          <w:tcPr>
            <w:tcW w:w="127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8 007 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-26</w:t>
            </w:r>
          </w:p>
        </w:tc>
        <w:tc>
          <w:tcPr>
            <w:tcW w:w="1196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484 178 </w:t>
            </w:r>
          </w:p>
        </w:tc>
      </w:tr>
      <w:tr w:rsidR="00733D2D" w:rsidRPr="00733D2D" w:rsidTr="00C127EE">
        <w:trPr>
          <w:trHeight w:val="315"/>
        </w:trPr>
        <w:tc>
          <w:tcPr>
            <w:tcW w:w="2694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Выбытие 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-47 607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             -     </w:t>
            </w:r>
          </w:p>
        </w:tc>
        <w:tc>
          <w:tcPr>
            <w:tcW w:w="993" w:type="dxa"/>
            <w:shd w:val="clear" w:color="000000" w:fill="FFFFFF"/>
            <w:noWrap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-8 868 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-11 905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-52 695 </w:t>
            </w:r>
          </w:p>
        </w:tc>
        <w:tc>
          <w:tcPr>
            <w:tcW w:w="1275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-28 113 </w:t>
            </w:r>
          </w:p>
        </w:tc>
        <w:tc>
          <w:tcPr>
            <w:tcW w:w="127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                     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                           </w:t>
            </w:r>
          </w:p>
        </w:tc>
        <w:tc>
          <w:tcPr>
            <w:tcW w:w="1196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-149 189 </w:t>
            </w:r>
          </w:p>
        </w:tc>
      </w:tr>
      <w:tr w:rsidR="00733D2D" w:rsidRPr="00733D2D" w:rsidTr="00C127EE">
        <w:trPr>
          <w:trHeight w:val="315"/>
        </w:trPr>
        <w:tc>
          <w:tcPr>
            <w:tcW w:w="2694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Амортизационные отчисления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-36 744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             -     </w:t>
            </w:r>
          </w:p>
        </w:tc>
        <w:tc>
          <w:tcPr>
            <w:tcW w:w="993" w:type="dxa"/>
            <w:shd w:val="clear" w:color="000000" w:fill="FFFFFF"/>
            <w:noWrap/>
            <w:vAlign w:val="center"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-76 518 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-10 184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10 667 </w:t>
            </w:r>
          </w:p>
        </w:tc>
        <w:tc>
          <w:tcPr>
            <w:tcW w:w="1275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-33 208 </w:t>
            </w:r>
          </w:p>
        </w:tc>
        <w:tc>
          <w:tcPr>
            <w:tcW w:w="127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-30 939 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                             </w:t>
            </w:r>
          </w:p>
        </w:tc>
        <w:tc>
          <w:tcPr>
            <w:tcW w:w="1196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-176 925 </w:t>
            </w:r>
          </w:p>
        </w:tc>
      </w:tr>
      <w:tr w:rsidR="00733D2D" w:rsidRPr="00733D2D" w:rsidTr="00C127EE">
        <w:trPr>
          <w:trHeight w:val="342"/>
        </w:trPr>
        <w:tc>
          <w:tcPr>
            <w:tcW w:w="2694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Балансовая стоимость       на 1 января  2014 года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1 683 128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170 845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36 765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859 348 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509 847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173 440 </w:t>
            </w:r>
          </w:p>
        </w:tc>
        <w:tc>
          <w:tcPr>
            <w:tcW w:w="1275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837 425 </w:t>
            </w:r>
          </w:p>
        </w:tc>
        <w:tc>
          <w:tcPr>
            <w:tcW w:w="127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87 576 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2 579</w:t>
            </w:r>
          </w:p>
        </w:tc>
        <w:tc>
          <w:tcPr>
            <w:tcW w:w="1196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4 190 108 </w:t>
            </w:r>
          </w:p>
        </w:tc>
      </w:tr>
      <w:tr w:rsidR="00733D2D" w:rsidRPr="00733D2D" w:rsidTr="00C127EE">
        <w:trPr>
          <w:trHeight w:val="342"/>
        </w:trPr>
        <w:tc>
          <w:tcPr>
            <w:tcW w:w="2694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Накопленная амортизация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-265 120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             -     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               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-505 895 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-427 073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-97 502 </w:t>
            </w:r>
          </w:p>
        </w:tc>
        <w:tc>
          <w:tcPr>
            <w:tcW w:w="1275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-314 779 </w:t>
            </w:r>
          </w:p>
        </w:tc>
        <w:tc>
          <w:tcPr>
            <w:tcW w:w="127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-53 392 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                         </w:t>
            </w:r>
          </w:p>
        </w:tc>
        <w:tc>
          <w:tcPr>
            <w:tcW w:w="1196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-1 663 761 </w:t>
            </w:r>
          </w:p>
        </w:tc>
      </w:tr>
      <w:tr w:rsidR="00733D2D" w:rsidRPr="00733D2D" w:rsidTr="00C127EE">
        <w:trPr>
          <w:trHeight w:val="435"/>
        </w:trPr>
        <w:tc>
          <w:tcPr>
            <w:tcW w:w="2694" w:type="dxa"/>
            <w:shd w:val="clear" w:color="000000" w:fill="FFFFFF"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Остаточная стоимость        на 1 января 2014 года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1 418 008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170 845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36 765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353 454 </w:t>
            </w:r>
          </w:p>
        </w:tc>
        <w:tc>
          <w:tcPr>
            <w:tcW w:w="141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82 774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75 938 </w:t>
            </w:r>
          </w:p>
        </w:tc>
        <w:tc>
          <w:tcPr>
            <w:tcW w:w="1275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522 646 </w:t>
            </w:r>
          </w:p>
        </w:tc>
        <w:tc>
          <w:tcPr>
            <w:tcW w:w="1277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34 184 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2 579</w:t>
            </w:r>
          </w:p>
        </w:tc>
        <w:tc>
          <w:tcPr>
            <w:tcW w:w="1196" w:type="dxa"/>
            <w:shd w:val="clear" w:color="000000" w:fill="FFFFFF"/>
            <w:noWrap/>
            <w:vAlign w:val="center"/>
            <w:hideMark/>
          </w:tcPr>
          <w:p w:rsidR="00733D2D" w:rsidRPr="00733D2D" w:rsidRDefault="00733D2D" w:rsidP="002E0B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33D2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2 526 348 </w:t>
            </w:r>
          </w:p>
        </w:tc>
      </w:tr>
    </w:tbl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733D2D" w:rsidRPr="00733D2D" w:rsidSect="00733D2D">
          <w:footerReference w:type="default" r:id="rId10"/>
          <w:pgSz w:w="16838" w:h="11906" w:orient="landscape"/>
          <w:pgMar w:top="993" w:right="709" w:bottom="1134" w:left="993" w:header="720" w:footer="720" w:gutter="0"/>
          <w:cols w:space="720"/>
          <w:docGrid w:linePitch="272"/>
        </w:sectPr>
      </w:pP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lastRenderedPageBreak/>
        <w:t>Ограничений на недвижимость временно неиспользуемой в основной деятельности и переданных в залог не имеется.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 В течение 5 последних завершенных финансовых лет переоценки основных средств не было.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Текущая (справедливая) стоимость недвижимости, временно неиспользуемой в основной деятельности, определяется после первоначального признания не реже одного раза в год на основании профессионального суждения.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При определении текущей (справедливой) стоимости недвижимости, временно неиспользуемой в основной деятельности  Банка, используются  действующие цены на активном рынке аналогичной недвижимости, данные об уровне цен, опубликованные в средствах массовой информации, в интернете, экспертные заключения о текущей (справедливой) стоимости, заключения отдела залогов Банка.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Переоценка имущества, временно не используемого для осуществления банковской деятельности, была произведена по состоянию на 31 декабря 2013 года. 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Независимые оценщики  для оценки основных средств, а также объектов недвижимости, временно неиспользуемой в основной деятельности в 2012 и 2013 году не привлекались.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Основные средства, входящие в состав имущества, временно неиспользуемого для осуществления банковской деятельности приносят Банку экономические выгоды, в связи со сдачей имущества в аренду по заключенным договорам.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По состоянию на 1 января 2014 года справедливая стоимость ценных бумаг, переданных Центральному Банку РФ по договорам продажи и обратного выкупа («</w:t>
      </w:r>
      <w:proofErr w:type="spellStart"/>
      <w:r w:rsidRPr="00733D2D">
        <w:rPr>
          <w:rFonts w:ascii="Times New Roman" w:hAnsi="Times New Roman" w:cs="Times New Roman"/>
          <w:sz w:val="28"/>
          <w:szCs w:val="28"/>
        </w:rPr>
        <w:t>репо</w:t>
      </w:r>
      <w:proofErr w:type="spellEnd"/>
      <w:r w:rsidRPr="00733D2D">
        <w:rPr>
          <w:rFonts w:ascii="Times New Roman" w:hAnsi="Times New Roman" w:cs="Times New Roman"/>
          <w:sz w:val="28"/>
          <w:szCs w:val="28"/>
        </w:rPr>
        <w:t>»), в сумме 6 301 176 тысяч рублей составила 7 595 011 тысяч рублей.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152660134"/>
      <w:r w:rsidRPr="00733D2D">
        <w:rPr>
          <w:rFonts w:ascii="Times New Roman" w:hAnsi="Times New Roman" w:cs="Times New Roman"/>
          <w:sz w:val="28"/>
          <w:szCs w:val="28"/>
        </w:rPr>
        <w:t xml:space="preserve">Векселя являются долговыми ценными бумагами с номиналом в российских рублях. На 1 января 2014 года эти векселя имели сроки </w:t>
      </w:r>
      <w:r w:rsidRPr="00733D2D">
        <w:rPr>
          <w:rFonts w:ascii="Times New Roman" w:hAnsi="Times New Roman" w:cs="Times New Roman"/>
          <w:sz w:val="28"/>
          <w:szCs w:val="28"/>
        </w:rPr>
        <w:lastRenderedPageBreak/>
        <w:t xml:space="preserve">погашения с января 2013 года по май 2019 года (2012 г.: с января 2013 года по май 2019 года). Эффективная процентная ставка по срочным векселям составляла от 0,6% до 14,7% годовых (2012 г.: от 1,3% до 14,9% годовых). </w:t>
      </w:r>
    </w:p>
    <w:p w:rsidR="00733D2D" w:rsidRPr="00733D2D" w:rsidRDefault="00733D2D" w:rsidP="002E0B82">
      <w:pPr>
        <w:pStyle w:val="ABC-paragrahinNotes"/>
        <w:shd w:val="clear" w:color="auto" w:fill="FFFFFF"/>
        <w:spacing w:after="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bookmarkStart w:id="12" w:name="_Ref113188094"/>
      <w:bookmarkStart w:id="13" w:name="_Ref113188131"/>
      <w:bookmarkEnd w:id="11"/>
      <w:r w:rsidRPr="00733D2D">
        <w:rPr>
          <w:rFonts w:ascii="Times New Roman" w:hAnsi="Times New Roman"/>
          <w:sz w:val="28"/>
          <w:szCs w:val="28"/>
          <w:lang w:val="ru-RU"/>
        </w:rPr>
        <w:t xml:space="preserve">Облигации являются долговыми ценными бумагами с номиналом в российских рублях и свободно обращаются на российском фондовом рынке. 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На 1 января 2014 года у Банка были три вида облигаций: облигации номинальной стоимостью 5 000 000 тысяч рублей, выпущенные Банком в октябре 2012 года со сроком погашения в октябре 2015 года; облигации с номинальной стоимостью 5 000  000 тысяч рублей, выпущенные Банком в марте 2013 года со сроком погашения в марте 2016 года; облигации с номинальной стоимостью 5 000 000 тысяч рублей, выпущенные Банком в августе 2013 года со сроком погашения в августе 2016 года.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Решением о выпуске облигаций первого вида предусмотрена возможность объявления новой ставки по купонам. В этом случае Банк обязан объявить оферту по выкупу облигаций по требованию их владельцев. В октябре 2013 года Банк исполнил оферту по облигациям, выпущенным в октябре 2012 года, в результате чего первоначальные условия выпуска облигаций были изменены. Согласно новым условиям, начиная с октября 2013 года и до срока погашения данные облигации имеют номинальную процентную ставку 8,5%.  По состоянию на 1 января 2014 года эффективная процентная ставка по данным облигациям составила 9,2% (2012 г.: 10,3%).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По состоянию на 1 января 2014 года эффективная процентная ставка по облигациям, выпущенным в марте 2013 года, составила 9,5% годовых, номинальная процентная ставка выпуска 9,2% годовых. Решением о выпуске облигаций данного вида предусмотрена возможность объявления новой ставки по купонам. В этом случае Банк обязан объявить оферту по выкупу облигаций по требованию владельцев.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По состоянию на 1 января 2014 года эффективная процентная ставка по облигациям, выпущенным в августе 2013 года, составила 9,2% годовых, номинальная процентная ставка выпуска 8,85% годовых. Решением о </w:t>
      </w:r>
      <w:r w:rsidRPr="00733D2D">
        <w:rPr>
          <w:rFonts w:ascii="Times New Roman" w:hAnsi="Times New Roman" w:cs="Times New Roman"/>
          <w:sz w:val="28"/>
          <w:szCs w:val="28"/>
        </w:rPr>
        <w:lastRenderedPageBreak/>
        <w:t>выпуске облигаций данного вида предусмотрена возможность объявления новой ставки по купонам. В этом случае Банк обязан объявить оферту по выкупу облигаций по требованию владельцев.</w:t>
      </w:r>
    </w:p>
    <w:bookmarkEnd w:id="12"/>
    <w:bookmarkEnd w:id="13"/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К Банку не предъявлялись требования по досрочному исполнению обязательств, все условия в рамках заключенных Банком договоров исполнялись.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Уставный капитал Банка составляет 28 215 396 326 (Двадцать восемь миллиардов двести пятнадцать миллионов триста девяносто шесть тысяч триста двадцать шесть) рублей и разделен на 28 215 396 326 обыкновенных именных акций, номинальной стоимостью 1 (один) рубль  каждая.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Все акции Банка являются именными. Банк размещает обыкновенные акции, а также вправе размещать привилегированные акции одного или нескольких типов. 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Количество размещенных и оплаченных акций Банка – 28 215 396 326  штук. 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Форма выпуска – бездокументарная. </w:t>
      </w:r>
    </w:p>
    <w:p w:rsidR="00733D2D" w:rsidRPr="00733D2D" w:rsidRDefault="00733D2D" w:rsidP="002E0B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Предельное количество обыкновенных объявленных акций составляет 9 800 000 000 (Девять миллиардов восемьсот миллионов) штук бездокументарной формы выпуска, номинальной стоимостью 1 (один) рубль каждая.</w:t>
      </w:r>
    </w:p>
    <w:p w:rsidR="00CF7F74" w:rsidRDefault="00CF7F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F7F74" w:rsidRDefault="00CF7F74" w:rsidP="00C127E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CF7F74" w:rsidSect="009D70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33D2D" w:rsidRPr="00733D2D" w:rsidRDefault="00C127EE" w:rsidP="00C127E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3.10</w:t>
      </w:r>
    </w:p>
    <w:p w:rsidR="00733D2D" w:rsidRPr="00733D2D" w:rsidRDefault="00733D2D" w:rsidP="00C127E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Расходы на создание и доходы от восстановления резервов на возможные потери</w:t>
      </w:r>
      <w:r w:rsidR="00C127EE">
        <w:rPr>
          <w:rFonts w:ascii="Times New Roman" w:hAnsi="Times New Roman" w:cs="Times New Roman"/>
          <w:sz w:val="28"/>
          <w:szCs w:val="28"/>
        </w:rPr>
        <w:t>, тыс.руб.</w:t>
      </w:r>
    </w:p>
    <w:tbl>
      <w:tblPr>
        <w:tblW w:w="14562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66"/>
        <w:gridCol w:w="1878"/>
        <w:gridCol w:w="1559"/>
        <w:gridCol w:w="1435"/>
        <w:gridCol w:w="1984"/>
        <w:gridCol w:w="1364"/>
        <w:gridCol w:w="1276"/>
      </w:tblGrid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C127EE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4872" w:type="dxa"/>
            <w:gridSpan w:val="3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b/>
                <w:sz w:val="24"/>
                <w:szCs w:val="24"/>
              </w:rPr>
              <w:t>2013 год</w:t>
            </w:r>
          </w:p>
        </w:tc>
        <w:tc>
          <w:tcPr>
            <w:tcW w:w="4624" w:type="dxa"/>
            <w:gridSpan w:val="3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b/>
                <w:sz w:val="24"/>
                <w:szCs w:val="24"/>
              </w:rPr>
              <w:t>2012 год</w:t>
            </w:r>
          </w:p>
        </w:tc>
      </w:tr>
      <w:tr w:rsidR="00733D2D" w:rsidRPr="00C127EE" w:rsidTr="00CF7F74">
        <w:trPr>
          <w:trHeight w:val="313"/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Восстановление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Сальдо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Восстановление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Сальдо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Ценные бумаги, имеющиеся в наличии для продажи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2 794 984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2 866 877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-71 893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2 430 822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1 810 258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620 563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Ссудная задолженность, всего, в т.ч.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28 467 058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28 976 660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-509 602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21 954 446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26 230 883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-4 276 437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Корреспондентские счета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3 039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2 814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3 119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3 079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Межбанковские кредиты и депозиты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713 501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712 345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1 156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163 713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163 713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Кредиты юридических лиц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21 388 564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21 254 016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134 548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15 156 904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17 951 135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-2 794 231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Кредиты физических лиц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2 273 097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3 628 708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-1 355 611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3 630 311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4 252 044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-621 733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Сделки с предоставлением контрагенту отсрочки платежа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492 104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35 711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456 393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415 082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880 724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-465 642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Учтенные векселя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436 545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373 138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63 407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132 710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265 676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-132 966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F7F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Сделки обратного РЕПО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2 640 825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2 624 880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15 945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2 211 129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2 210 050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1 079</w:t>
            </w:r>
          </w:p>
        </w:tc>
      </w:tr>
      <w:tr w:rsidR="00733D2D" w:rsidRPr="00C127EE" w:rsidTr="00CF7F74">
        <w:trPr>
          <w:trHeight w:val="537"/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F7F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Требования по получению процентных доходов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652 476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768 150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-115 674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471 397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548 362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-76 965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F7F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Прочие активы, всего, в т.ч.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4 786 021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4 751 336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34 685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5 988 999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5 834 558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154 441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Внеоборотные</w:t>
            </w:r>
            <w:proofErr w:type="spellEnd"/>
            <w:r w:rsidRPr="00C127EE">
              <w:rPr>
                <w:rFonts w:ascii="Times New Roman" w:hAnsi="Times New Roman" w:cs="Times New Roman"/>
                <w:sz w:val="24"/>
                <w:szCs w:val="24"/>
              </w:rPr>
              <w:t xml:space="preserve"> активы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16 411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49 450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-33 039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11 388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36 558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-25 170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Гарантии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824 822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709 604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115 218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331 062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347 003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-15 941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127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Неиспользованные кредитные линии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3 421 253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3 467 513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-46 260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4 278 603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4 329 039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-50 436</w:t>
            </w:r>
          </w:p>
        </w:tc>
      </w:tr>
      <w:tr w:rsidR="00733D2D" w:rsidRPr="00C127EE" w:rsidTr="00CF7F74">
        <w:trPr>
          <w:jc w:val="center"/>
        </w:trPr>
        <w:tc>
          <w:tcPr>
            <w:tcW w:w="5066" w:type="dxa"/>
            <w:shd w:val="clear" w:color="auto" w:fill="auto"/>
          </w:tcPr>
          <w:p w:rsidR="00733D2D" w:rsidRPr="00C127EE" w:rsidRDefault="00733D2D" w:rsidP="00CF7F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Прочие финансово-хозяйственные операции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522 896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482 580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40 316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1 367 719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1 093 588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2D" w:rsidRPr="00C127EE" w:rsidRDefault="00733D2D" w:rsidP="00C12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EE">
              <w:rPr>
                <w:rFonts w:ascii="Times New Roman" w:hAnsi="Times New Roman" w:cs="Times New Roman"/>
                <w:sz w:val="24"/>
                <w:szCs w:val="24"/>
              </w:rPr>
              <w:t>274 131</w:t>
            </w:r>
          </w:p>
        </w:tc>
      </w:tr>
    </w:tbl>
    <w:p w:rsidR="00CF7F74" w:rsidRDefault="00CF7F74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CF7F74" w:rsidSect="00CF7F7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127EE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lastRenderedPageBreak/>
        <w:t>Курсовые разницы, признанные в составе прибыли (убытков), за исключением тех, которые возникают в связи с финансовыми инструментами, оцениваемыми по справедливой стоимости через прибыль (убыток)</w:t>
      </w:r>
      <w:r w:rsidR="00C127EE" w:rsidRPr="00C127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7EE" w:rsidRDefault="00C127EE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В связи с тем, что за налоговый период 2013 года налоговая база для исчисления налога отрицательная, сумма исчисленного налога на прибыль равна нулю. В течение 2012 и 2013 годов новые налоги не вводились. Ставки налогов не менялись.</w:t>
      </w:r>
      <w:bookmarkStart w:id="14" w:name="RANGE!A9"/>
      <w:r w:rsidRPr="00C127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D2D" w:rsidRPr="00733D2D" w:rsidRDefault="00C127EE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Расходы на содержание персонала включают установленные законом взносы в Пенсионный фонд РФ, ФСС РФ, ФОМС РФ в размере 718 025 тысяч рублей (2012 г.: 641 382 тысяч рублей).</w:t>
      </w:r>
      <w:bookmarkEnd w:id="14"/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В отчетном году затраты на исследования и разработки, признанные в качестве расходов отсутствуют.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Инвестиции в дочерние и зависимые организации остались без изменений.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Деятельность Банка и его подразделений была непрерывной.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Управление капиталом Банка имеет следующие цели: соблюдение требований к капиталу, установленных Центральным банком Российской Федерации; обеспечение способности Банка функционировать в качестве непрерывно действующего предприятия; поддержание капитальной базы на уровне, необходимом для обеспечения коэффициента достаточности капитала в размере в соответствии с Базель III. Контроль за выполнением норматива достаточности капитала, установленного Центральным банком Российской Федерации, осуществляется с помощью ежемесячных отчетов, содержащих соответствующие расчеты, которые проверяются и визируются Председателем Правления и Главным бухгалтером Банка. 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С целью обеспечения необходимого уровня достаточности капитала, позволяющего Банку поддерживать функционирование в стрессовой ситуации,  «АК БАРС» Банк в рамках  Базель III развивает систему </w:t>
      </w:r>
      <w:proofErr w:type="spellStart"/>
      <w:r w:rsidRPr="00733D2D">
        <w:rPr>
          <w:rFonts w:ascii="Times New Roman" w:hAnsi="Times New Roman" w:cs="Times New Roman"/>
          <w:sz w:val="28"/>
          <w:szCs w:val="28"/>
        </w:rPr>
        <w:t>стресс-тестирования</w:t>
      </w:r>
      <w:proofErr w:type="spellEnd"/>
      <w:r w:rsidRPr="00733D2D">
        <w:rPr>
          <w:rFonts w:ascii="Times New Roman" w:hAnsi="Times New Roman" w:cs="Times New Roman"/>
          <w:sz w:val="28"/>
          <w:szCs w:val="28"/>
        </w:rPr>
        <w:t xml:space="preserve"> и осуществляет подготовку на ее основе планов </w:t>
      </w:r>
      <w:r w:rsidRPr="00733D2D">
        <w:rPr>
          <w:rFonts w:ascii="Times New Roman" w:hAnsi="Times New Roman" w:cs="Times New Roman"/>
          <w:sz w:val="28"/>
          <w:szCs w:val="28"/>
        </w:rPr>
        <w:lastRenderedPageBreak/>
        <w:t xml:space="preserve">восстановления финансовой устойчивости в соответствии с Письмом ЦБ РФ № 193-T «О Методических рекомендациях по разработке финансовыми организациями планов восстановления финансовой устойчивости». 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Для создания условий по соответствию размера своего суммарного капитала уровню всех принятых и потенциальных рисков, Банк с 2014 года начинает работу над созданием необходимых внутренних процедур оценки достаточности капитала (ВПОДК) в рамках реализации второго компонента Базель II  «Надзорный процесс». 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Собственные средства (капитал) Банка подразделяются на основной капитал и дополнительный.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В состав источников собственных средств, принимаемых в расчет основного капитала Банка организации, включены:</w:t>
      </w:r>
    </w:p>
    <w:p w:rsidR="00733D2D" w:rsidRPr="00733D2D" w:rsidRDefault="00733D2D" w:rsidP="00B83F0B">
      <w:pPr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Уставный капитал кредитной организации в организационно-правовой форме акционерного общества, сформированный в результате выпуска и размещения обыкновенных акций. Номинальная стоимость зарегистрированных обыкновенных акций составляла на 01.01.14  28 215 396 тыс. руб.  (на 01.01.2013 - 28 215 396 тыс. руб.).</w:t>
      </w:r>
    </w:p>
    <w:p w:rsidR="00733D2D" w:rsidRPr="00733D2D" w:rsidRDefault="00733D2D" w:rsidP="00B83F0B">
      <w:pPr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Часть резервного фонда кредитной организации, сформированного за счет прибыли предшествующих лет. Резервный фонд Банка на 01.01.2014г. составил 2 203 310 тыс. руб. (на 01.01.2013г. – 2 175 121 тыс. руб.)</w:t>
      </w:r>
    </w:p>
    <w:p w:rsidR="00733D2D" w:rsidRPr="00733D2D" w:rsidRDefault="00733D2D" w:rsidP="00B83F0B">
      <w:pPr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Нераспределенная прибыль предшествующих лет (или ее часть), данные о которой подтверждены аудиторской организацией. На 01.01.2014г. в состав источников основного капитала вошла нераспределенная прибыль предшествующих лет в сумме 5 529 849  тыс. руб. (на 01.01.2013г. – 5 709 647  тыс. руб.)</w:t>
      </w:r>
    </w:p>
    <w:p w:rsidR="00733D2D" w:rsidRPr="00733D2D" w:rsidRDefault="00733D2D" w:rsidP="00C127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В состав источников дополнительного капитала Банка включены:</w:t>
      </w:r>
    </w:p>
    <w:p w:rsidR="00733D2D" w:rsidRPr="00733D2D" w:rsidRDefault="00733D2D" w:rsidP="00B83F0B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224024046"/>
      <w:proofErr w:type="spellStart"/>
      <w:r w:rsidRPr="00733D2D">
        <w:rPr>
          <w:rFonts w:ascii="Times New Roman" w:hAnsi="Times New Roman" w:cs="Times New Roman"/>
          <w:sz w:val="28"/>
          <w:szCs w:val="28"/>
        </w:rPr>
        <w:t>Субординированные</w:t>
      </w:r>
      <w:proofErr w:type="spellEnd"/>
      <w:r w:rsidRPr="00733D2D">
        <w:rPr>
          <w:rFonts w:ascii="Times New Roman" w:hAnsi="Times New Roman" w:cs="Times New Roman"/>
          <w:sz w:val="28"/>
          <w:szCs w:val="28"/>
        </w:rPr>
        <w:t xml:space="preserve"> еврооблигации, выпущенные Банком в июле 2012г. в сумме 600 000 тысяч долларов США со сроком погашения в июле 2022 года и процентной ставкой 8,0% годовых. Проценты и основная сумма по </w:t>
      </w:r>
      <w:proofErr w:type="spellStart"/>
      <w:r w:rsidRPr="00733D2D">
        <w:rPr>
          <w:rFonts w:ascii="Times New Roman" w:hAnsi="Times New Roman" w:cs="Times New Roman"/>
          <w:sz w:val="28"/>
          <w:szCs w:val="28"/>
        </w:rPr>
        <w:t>субординированным</w:t>
      </w:r>
      <w:proofErr w:type="spellEnd"/>
      <w:r w:rsidRPr="00733D2D">
        <w:rPr>
          <w:rFonts w:ascii="Times New Roman" w:hAnsi="Times New Roman" w:cs="Times New Roman"/>
          <w:sz w:val="28"/>
          <w:szCs w:val="28"/>
        </w:rPr>
        <w:t xml:space="preserve"> еврооблигациям выплачиваются в долларах США. В </w:t>
      </w:r>
      <w:r w:rsidRPr="00733D2D">
        <w:rPr>
          <w:rFonts w:ascii="Times New Roman" w:hAnsi="Times New Roman" w:cs="Times New Roman"/>
          <w:sz w:val="28"/>
          <w:szCs w:val="28"/>
        </w:rPr>
        <w:lastRenderedPageBreak/>
        <w:t xml:space="preserve">случае ликвидации Банка, погашение данного долга будет произведено после удовлетворения требований всех прочих кредиторов. Сумма </w:t>
      </w:r>
      <w:proofErr w:type="spellStart"/>
      <w:r w:rsidRPr="00733D2D">
        <w:rPr>
          <w:rFonts w:ascii="Times New Roman" w:hAnsi="Times New Roman" w:cs="Times New Roman"/>
          <w:sz w:val="28"/>
          <w:szCs w:val="28"/>
        </w:rPr>
        <w:t>субординированных</w:t>
      </w:r>
      <w:proofErr w:type="spellEnd"/>
      <w:r w:rsidRPr="00733D2D">
        <w:rPr>
          <w:rFonts w:ascii="Times New Roman" w:hAnsi="Times New Roman" w:cs="Times New Roman"/>
          <w:sz w:val="28"/>
          <w:szCs w:val="28"/>
        </w:rPr>
        <w:t xml:space="preserve"> еврооблигаций, включенных в расчет собственных средств на 01.01.2014г. составила 16 753 627 тыс. руб. (на 01.01.2013г. – 16 999 719 тыс. руб.).</w:t>
      </w:r>
    </w:p>
    <w:p w:rsidR="00733D2D" w:rsidRPr="00733D2D" w:rsidRDefault="00733D2D" w:rsidP="00B83F0B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Нераспределенная прибыль текущего года (или ее часть), данные о которой не подтверждены аудиторской организацией. На 01.01.2014г. в состав источников дополнительного капитала вошла нераспределенная прибыль текущего года в сумме     155 949 тыс. руб. (на 01.01.2013г. – 233 265 тыс. руб.).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В соответствии с существующими требованиями к капиталу, установленными Центральным банком Российской Федерации, банки должны поддерживать соотношение капитала и активов, взвешенных с учетом риска («норматив достаточности капитала»), на уровне выше обязательного минимального значения. Минимальное значение на 1 января 2014 года составило 10% (2012 г.: 10%). 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Нормативный капитал, рассчитанный в соответствии с требованиями российского законодательства, составил 50 185 678 тысяч рублей на 01 января 2014 года (2012 г.: 50 750 922 тысяч рублей). 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За отчетный период Банком выполнялись требования к капиталу, установленные инструкцией Банка России № 139-И от 03.12.2012г. «Об обязательных нормативах банков». На 01.01.2014г. значение норматива достаточности капитала Банка Н1 составило 12,79%. (на 01.01.2013г. – 14,02%).  </w:t>
      </w:r>
      <w:bookmarkEnd w:id="15"/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 xml:space="preserve">По состоянию на 1 января 2014г. Банк имеет неиспользованные кредитные линии по получению кредитов в рамках межбанковского договора с ОАО «МСП БАНК» в сумме 648 620 тыс.руб. 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D2D">
        <w:rPr>
          <w:rFonts w:ascii="Times New Roman" w:hAnsi="Times New Roman" w:cs="Times New Roman"/>
          <w:sz w:val="28"/>
          <w:szCs w:val="28"/>
        </w:rPr>
        <w:t>Кредитных средств, не использованных ввиду ограничений по их использованию, не было.</w:t>
      </w:r>
    </w:p>
    <w:p w:rsidR="00733D2D" w:rsidRP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Pr="00733D2D" w:rsidRDefault="00733D2D" w:rsidP="00733D2D">
      <w:pPr>
        <w:pStyle w:val="a3"/>
        <w:spacing w:after="0" w:line="360" w:lineRule="auto"/>
        <w:ind w:left="0"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6" w:name="_GoBack"/>
      <w:bookmarkStart w:id="17" w:name="_Toc403055619"/>
      <w:bookmarkEnd w:id="16"/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  <w:bookmarkEnd w:id="17"/>
    </w:p>
    <w:p w:rsid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B82" w:rsidRPr="002E6C66" w:rsidRDefault="002E0B82" w:rsidP="002E0B82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 w:rsidRPr="002E6C66">
        <w:rPr>
          <w:sz w:val="28"/>
          <w:szCs w:val="28"/>
        </w:rPr>
        <w:t>Для российских банков в современной экономической ситуации весьма актуальным становится вопрос разработки и применения эффективных методов анализа финансового состояния банков, соответствующих условиям местного рынка. Экономический анализ деятельности банка включает: оценку состояния и результатов деятельности банка на момент проведения анализа; сравнение с предыдущим периодом и сравнение с результатами работы других банков.</w:t>
      </w:r>
    </w:p>
    <w:p w:rsidR="002E0B82" w:rsidRPr="002E6C66" w:rsidRDefault="002E0B82" w:rsidP="002E0B82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 w:rsidRPr="002E6C66">
        <w:rPr>
          <w:sz w:val="28"/>
          <w:szCs w:val="28"/>
        </w:rPr>
        <w:t>Целью анализа является обобщение его результатов и подготовка рекомендаций для принятия управленческих решений, направленных на повышение эффективности работы банка.</w:t>
      </w:r>
    </w:p>
    <w:p w:rsidR="002E0B82" w:rsidRPr="002E6C66" w:rsidRDefault="002E0B82" w:rsidP="002E0B82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 w:rsidRPr="002E6C66">
        <w:rPr>
          <w:sz w:val="28"/>
          <w:szCs w:val="28"/>
        </w:rPr>
        <w:t>Основной информацией для проведения анализа финансового состояния того или иного банка является его финансовая отчетность.</w:t>
      </w:r>
    </w:p>
    <w:p w:rsidR="002E0B82" w:rsidRPr="002E6C66" w:rsidRDefault="00B83F0B" w:rsidP="002E0B82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2E0B82" w:rsidRPr="002E6C66">
        <w:rPr>
          <w:sz w:val="28"/>
          <w:szCs w:val="28"/>
        </w:rPr>
        <w:t xml:space="preserve">лючевым фактором, определяющим динамику развития банковского сектора и ОАО «АК БАРС» БАНК в частности, стал мировой экономический кризис и комплекс мер, принимаемых властями РФ по стабилизации ситуации на финансовых рынках. Сильное падение цен на финансовые активы на рынке ценных бумаг и увеличение расходов по созданию резервов по кредитам ввиду увеличения риска </w:t>
      </w:r>
      <w:proofErr w:type="spellStart"/>
      <w:r w:rsidR="002E0B82" w:rsidRPr="002E6C66">
        <w:rPr>
          <w:sz w:val="28"/>
          <w:szCs w:val="28"/>
        </w:rPr>
        <w:t>невозврата</w:t>
      </w:r>
      <w:proofErr w:type="spellEnd"/>
      <w:r w:rsidR="002E0B82" w:rsidRPr="002E6C66">
        <w:rPr>
          <w:sz w:val="28"/>
          <w:szCs w:val="28"/>
        </w:rPr>
        <w:t xml:space="preserve"> займов со стороны предприятий реального сектора и населения – основные факторы, которые оказали влияние на результаты деятельности Банка.</w:t>
      </w:r>
    </w:p>
    <w:p w:rsid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Default="00733D2D" w:rsidP="00733D2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3D2D" w:rsidRPr="00733D2D" w:rsidRDefault="00733D2D" w:rsidP="00733D2D">
      <w:pPr>
        <w:pStyle w:val="a3"/>
        <w:spacing w:after="0" w:line="360" w:lineRule="auto"/>
        <w:ind w:left="0"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8" w:name="_Toc403055620"/>
      <w:r w:rsidRPr="00733D2D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  <w:bookmarkEnd w:id="18"/>
    </w:p>
    <w:p w:rsid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B82" w:rsidRPr="00F611C7" w:rsidRDefault="002E0B82" w:rsidP="00B25B73">
      <w:pPr>
        <w:pStyle w:val="ad"/>
        <w:numPr>
          <w:ilvl w:val="0"/>
          <w:numId w:val="9"/>
        </w:numPr>
        <w:tabs>
          <w:tab w:val="left" w:pos="993"/>
        </w:tabs>
        <w:spacing w:line="360" w:lineRule="auto"/>
        <w:ind w:left="0" w:right="-426" w:firstLine="709"/>
        <w:jc w:val="both"/>
        <w:rPr>
          <w:rFonts w:ascii="Times New Roman" w:hAnsi="Times New Roman"/>
          <w:sz w:val="28"/>
          <w:szCs w:val="28"/>
        </w:rPr>
      </w:pPr>
      <w:r w:rsidRPr="00F611C7">
        <w:rPr>
          <w:rFonts w:ascii="Times New Roman" w:hAnsi="Times New Roman"/>
          <w:sz w:val="28"/>
          <w:szCs w:val="28"/>
        </w:rPr>
        <w:t>Закон «О Центральном банке Российской Федерации».</w:t>
      </w:r>
    </w:p>
    <w:p w:rsidR="002E0B82" w:rsidRPr="00F611C7" w:rsidRDefault="002E0B82" w:rsidP="00B25B73">
      <w:pPr>
        <w:pStyle w:val="ad"/>
        <w:numPr>
          <w:ilvl w:val="0"/>
          <w:numId w:val="9"/>
        </w:numPr>
        <w:tabs>
          <w:tab w:val="left" w:pos="993"/>
        </w:tabs>
        <w:spacing w:line="360" w:lineRule="auto"/>
        <w:ind w:left="0" w:right="-426" w:firstLine="709"/>
        <w:jc w:val="both"/>
        <w:rPr>
          <w:rFonts w:ascii="Times New Roman" w:hAnsi="Times New Roman"/>
          <w:sz w:val="28"/>
          <w:szCs w:val="28"/>
        </w:rPr>
      </w:pPr>
      <w:r w:rsidRPr="00F611C7">
        <w:rPr>
          <w:rFonts w:ascii="Times New Roman" w:hAnsi="Times New Roman"/>
          <w:sz w:val="28"/>
          <w:szCs w:val="28"/>
        </w:rPr>
        <w:t>Федеральный Закон «О банках и банковской деятельности».</w:t>
      </w:r>
    </w:p>
    <w:p w:rsidR="002E0B82" w:rsidRPr="00F611C7" w:rsidRDefault="002E0B82" w:rsidP="00B25B73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1C7">
        <w:rPr>
          <w:rFonts w:ascii="Times New Roman" w:hAnsi="Times New Roman" w:cs="Times New Roman"/>
          <w:sz w:val="28"/>
          <w:szCs w:val="28"/>
        </w:rPr>
        <w:t>Инструкция №10 «О порядке регулирования и анализе деятельности   коммерческих банков». Утверждено постановлением Правления НБУ от 30 декабря 1996 №343.</w:t>
      </w:r>
    </w:p>
    <w:p w:rsidR="00F611C7" w:rsidRPr="00723E64" w:rsidRDefault="00F611C7" w:rsidP="00B25B73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E64">
        <w:rPr>
          <w:rFonts w:ascii="Times New Roman" w:hAnsi="Times New Roman" w:cs="Times New Roman"/>
          <w:sz w:val="28"/>
          <w:szCs w:val="28"/>
        </w:rPr>
        <w:t xml:space="preserve">Банковские операции: Учеб. Пособие/ С.И. </w:t>
      </w:r>
      <w:proofErr w:type="spellStart"/>
      <w:r w:rsidRPr="00723E64">
        <w:rPr>
          <w:rFonts w:ascii="Times New Roman" w:hAnsi="Times New Roman" w:cs="Times New Roman"/>
          <w:sz w:val="28"/>
          <w:szCs w:val="28"/>
        </w:rPr>
        <w:t>Пупликов</w:t>
      </w:r>
      <w:proofErr w:type="spellEnd"/>
      <w:r w:rsidRPr="00723E64">
        <w:rPr>
          <w:rFonts w:ascii="Times New Roman" w:hAnsi="Times New Roman" w:cs="Times New Roman"/>
          <w:sz w:val="28"/>
          <w:szCs w:val="28"/>
        </w:rPr>
        <w:t xml:space="preserve"> [и др.]; Под общ. ред. С.И.  </w:t>
      </w:r>
      <w:proofErr w:type="spellStart"/>
      <w:r w:rsidRPr="00723E64">
        <w:rPr>
          <w:rFonts w:ascii="Times New Roman" w:hAnsi="Times New Roman" w:cs="Times New Roman"/>
          <w:sz w:val="28"/>
          <w:szCs w:val="28"/>
        </w:rPr>
        <w:t>Пупликова</w:t>
      </w:r>
      <w:proofErr w:type="spellEnd"/>
      <w:r w:rsidRPr="00723E64">
        <w:rPr>
          <w:rFonts w:ascii="Times New Roman" w:hAnsi="Times New Roman" w:cs="Times New Roman"/>
          <w:sz w:val="28"/>
          <w:szCs w:val="28"/>
        </w:rPr>
        <w:t xml:space="preserve">. – Мн.: </w:t>
      </w:r>
      <w:proofErr w:type="spellStart"/>
      <w:r w:rsidRPr="00723E64">
        <w:rPr>
          <w:rFonts w:ascii="Times New Roman" w:hAnsi="Times New Roman" w:cs="Times New Roman"/>
          <w:sz w:val="28"/>
          <w:szCs w:val="28"/>
        </w:rPr>
        <w:t>Выш.шк</w:t>
      </w:r>
      <w:proofErr w:type="spellEnd"/>
      <w:r w:rsidRPr="00723E64">
        <w:rPr>
          <w:rFonts w:ascii="Times New Roman" w:hAnsi="Times New Roman" w:cs="Times New Roman"/>
          <w:sz w:val="28"/>
          <w:szCs w:val="28"/>
        </w:rPr>
        <w:t>., 2003. – 351 с.</w:t>
      </w:r>
    </w:p>
    <w:p w:rsidR="00F611C7" w:rsidRPr="00F611C7" w:rsidRDefault="00F611C7" w:rsidP="00B25B73">
      <w:pPr>
        <w:pStyle w:val="Default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F611C7">
        <w:rPr>
          <w:bCs/>
          <w:sz w:val="28"/>
          <w:szCs w:val="28"/>
        </w:rPr>
        <w:t xml:space="preserve">Бочаров В.В.  Финансовый анализ. Краткий курс.  Издательство: Питер, </w:t>
      </w:r>
      <w:smartTag w:uri="urn:schemas-microsoft-com:office:smarttags" w:element="metricconverter">
        <w:smartTagPr>
          <w:attr w:name="ProductID" w:val="2006 г"/>
        </w:smartTagPr>
        <w:r w:rsidRPr="00F611C7">
          <w:rPr>
            <w:bCs/>
            <w:sz w:val="28"/>
            <w:szCs w:val="28"/>
          </w:rPr>
          <w:t>2006 г</w:t>
        </w:r>
      </w:smartTag>
      <w:r w:rsidRPr="00F611C7">
        <w:rPr>
          <w:bCs/>
          <w:sz w:val="28"/>
          <w:szCs w:val="28"/>
        </w:rPr>
        <w:t>.. с.218</w:t>
      </w:r>
    </w:p>
    <w:p w:rsidR="00F611C7" w:rsidRPr="00F611C7" w:rsidRDefault="00F611C7" w:rsidP="00B25B73">
      <w:pPr>
        <w:pStyle w:val="Default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F611C7">
        <w:rPr>
          <w:bCs/>
          <w:sz w:val="28"/>
          <w:szCs w:val="28"/>
        </w:rPr>
        <w:t xml:space="preserve">Дикая Л.Г.  Экономический анализ (Комплексный экономический анализ хозяйственной деятельности): Учебное пособие. - Издательство: ИНФРА-М, </w:t>
      </w:r>
      <w:smartTag w:uri="urn:schemas-microsoft-com:office:smarttags" w:element="metricconverter">
        <w:smartTagPr>
          <w:attr w:name="ProductID" w:val="2008 г"/>
        </w:smartTagPr>
        <w:r w:rsidRPr="00F611C7">
          <w:rPr>
            <w:bCs/>
            <w:sz w:val="28"/>
            <w:szCs w:val="28"/>
          </w:rPr>
          <w:t>2008 г</w:t>
        </w:r>
      </w:smartTag>
      <w:r w:rsidRPr="00F611C7">
        <w:rPr>
          <w:bCs/>
          <w:sz w:val="28"/>
          <w:szCs w:val="28"/>
        </w:rPr>
        <w:t>.</w:t>
      </w:r>
    </w:p>
    <w:p w:rsidR="00F611C7" w:rsidRPr="006E53BD" w:rsidRDefault="00F611C7" w:rsidP="00B25B73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53BD">
        <w:rPr>
          <w:rFonts w:ascii="Times New Roman" w:hAnsi="Times New Roman"/>
          <w:sz w:val="28"/>
          <w:szCs w:val="28"/>
        </w:rPr>
        <w:t xml:space="preserve">Журнал «Менеджмент в России и за рубежом» №5/2003, А.М. </w:t>
      </w:r>
      <w:proofErr w:type="spellStart"/>
      <w:r w:rsidRPr="006E53BD">
        <w:rPr>
          <w:rFonts w:ascii="Times New Roman" w:hAnsi="Times New Roman"/>
          <w:sz w:val="28"/>
          <w:szCs w:val="28"/>
        </w:rPr>
        <w:t>Либман</w:t>
      </w:r>
      <w:proofErr w:type="spellEnd"/>
      <w:r w:rsidRPr="006E53BD">
        <w:rPr>
          <w:rFonts w:ascii="Times New Roman" w:hAnsi="Times New Roman"/>
          <w:sz w:val="28"/>
          <w:szCs w:val="28"/>
        </w:rPr>
        <w:t xml:space="preserve"> «Власть и организационное развитие».</w:t>
      </w:r>
    </w:p>
    <w:p w:rsidR="00F611C7" w:rsidRPr="006E53BD" w:rsidRDefault="00F611C7" w:rsidP="00B25B73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53BD">
        <w:rPr>
          <w:rFonts w:ascii="Times New Roman" w:hAnsi="Times New Roman"/>
          <w:sz w:val="28"/>
          <w:szCs w:val="28"/>
        </w:rPr>
        <w:t>Казначевская</w:t>
      </w:r>
      <w:proofErr w:type="spellEnd"/>
      <w:r w:rsidRPr="00AE0C1F">
        <w:rPr>
          <w:rFonts w:ascii="Times New Roman" w:hAnsi="Times New Roman"/>
          <w:sz w:val="28"/>
          <w:szCs w:val="28"/>
        </w:rPr>
        <w:t xml:space="preserve"> </w:t>
      </w:r>
      <w:r w:rsidRPr="006E53BD">
        <w:rPr>
          <w:rFonts w:ascii="Times New Roman" w:hAnsi="Times New Roman"/>
          <w:sz w:val="28"/>
          <w:szCs w:val="28"/>
        </w:rPr>
        <w:t>Г.Б. Менеджмент. – Ростов-на-Дону, Феникс, 2005.</w:t>
      </w:r>
    </w:p>
    <w:p w:rsidR="00F611C7" w:rsidRPr="00F611C7" w:rsidRDefault="00F611C7" w:rsidP="00B25B73">
      <w:pPr>
        <w:pStyle w:val="af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611C7">
        <w:rPr>
          <w:sz w:val="28"/>
          <w:szCs w:val="28"/>
        </w:rPr>
        <w:t xml:space="preserve">Коэффициенты, используемые для расчета прогнозных значений показателей оценки капитала и доходности в соответствии с Указанием Банка России от 30.04.2008 № 2005-У (с </w:t>
      </w:r>
      <w:proofErr w:type="spellStart"/>
      <w:r w:rsidRPr="00F611C7">
        <w:rPr>
          <w:sz w:val="28"/>
          <w:szCs w:val="28"/>
        </w:rPr>
        <w:t>изм</w:t>
      </w:r>
      <w:proofErr w:type="spellEnd"/>
      <w:r w:rsidRPr="00F611C7">
        <w:rPr>
          <w:sz w:val="28"/>
          <w:szCs w:val="28"/>
        </w:rPr>
        <w:t>. и доп.) – ИПО Гарант.</w:t>
      </w:r>
    </w:p>
    <w:p w:rsidR="00F611C7" w:rsidRPr="008817DC" w:rsidRDefault="00F611C7" w:rsidP="00B25B73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7DC">
        <w:rPr>
          <w:rFonts w:ascii="Times New Roman" w:hAnsi="Times New Roman"/>
          <w:sz w:val="28"/>
          <w:szCs w:val="28"/>
        </w:rPr>
        <w:t xml:space="preserve">Коротков Э.М. Концепция российского менеджмента. - М.: Дека, 2004. </w:t>
      </w:r>
    </w:p>
    <w:p w:rsidR="00F611C7" w:rsidRPr="00F611C7" w:rsidRDefault="00F611C7" w:rsidP="00B25B73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1C7">
        <w:rPr>
          <w:rFonts w:ascii="Times New Roman" w:hAnsi="Times New Roman" w:cs="Times New Roman"/>
          <w:sz w:val="28"/>
          <w:szCs w:val="28"/>
        </w:rPr>
        <w:t xml:space="preserve">Киреев В.Л. Основы финансового анализа: Учебное пособие. Издательство: МИИТ, </w:t>
      </w:r>
      <w:smartTag w:uri="urn:schemas-microsoft-com:office:smarttags" w:element="metricconverter">
        <w:smartTagPr>
          <w:attr w:name="ProductID" w:val="2007 г"/>
        </w:smartTagPr>
        <w:r w:rsidRPr="00F611C7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F611C7">
        <w:rPr>
          <w:rFonts w:ascii="Times New Roman" w:hAnsi="Times New Roman" w:cs="Times New Roman"/>
          <w:sz w:val="28"/>
          <w:szCs w:val="28"/>
        </w:rPr>
        <w:t xml:space="preserve"> . с.172</w:t>
      </w:r>
    </w:p>
    <w:p w:rsidR="00F611C7" w:rsidRPr="00F611C7" w:rsidRDefault="00F611C7" w:rsidP="00B25B73">
      <w:pPr>
        <w:pStyle w:val="Default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F611C7">
        <w:rPr>
          <w:bCs/>
          <w:sz w:val="28"/>
          <w:szCs w:val="28"/>
        </w:rPr>
        <w:t xml:space="preserve">Киреев В.Л.  Основы финансового анализа: Учебное пособие.  Издательство: МИИТ, </w:t>
      </w:r>
      <w:smartTag w:uri="urn:schemas-microsoft-com:office:smarttags" w:element="metricconverter">
        <w:smartTagPr>
          <w:attr w:name="ProductID" w:val="2007 г"/>
        </w:smartTagPr>
        <w:r w:rsidRPr="00F611C7">
          <w:rPr>
            <w:bCs/>
            <w:sz w:val="28"/>
            <w:szCs w:val="28"/>
          </w:rPr>
          <w:t>2007 г</w:t>
        </w:r>
      </w:smartTag>
      <w:r w:rsidRPr="00F611C7">
        <w:rPr>
          <w:bCs/>
          <w:sz w:val="28"/>
          <w:szCs w:val="28"/>
        </w:rPr>
        <w:t>.  С. 172.</w:t>
      </w:r>
    </w:p>
    <w:p w:rsidR="00F611C7" w:rsidRPr="00F611C7" w:rsidRDefault="00F611C7" w:rsidP="00B25B73">
      <w:pPr>
        <w:pStyle w:val="Default"/>
        <w:widowControl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611C7">
        <w:rPr>
          <w:bCs/>
          <w:sz w:val="28"/>
          <w:szCs w:val="28"/>
        </w:rPr>
        <w:t>Лаврушин  И.О. Банковское дело – Финансы: «КНОРУС» , 2008г. 320с.</w:t>
      </w:r>
    </w:p>
    <w:p w:rsidR="00F611C7" w:rsidRPr="00F611C7" w:rsidRDefault="00F611C7" w:rsidP="00B25B73">
      <w:pPr>
        <w:pStyle w:val="Default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F611C7">
        <w:rPr>
          <w:bCs/>
          <w:sz w:val="28"/>
          <w:szCs w:val="28"/>
        </w:rPr>
        <w:t xml:space="preserve">Любушин Н.П.  Комплексный экономический анализ хозяйственной деятельности: учебное пособие для студентов вузов.  Издательство: </w:t>
      </w:r>
      <w:proofErr w:type="spellStart"/>
      <w:r w:rsidRPr="00F611C7">
        <w:rPr>
          <w:bCs/>
          <w:sz w:val="28"/>
          <w:szCs w:val="28"/>
        </w:rPr>
        <w:t>Юнити-</w:t>
      </w:r>
      <w:r w:rsidRPr="00F611C7">
        <w:rPr>
          <w:bCs/>
          <w:sz w:val="28"/>
          <w:szCs w:val="28"/>
        </w:rPr>
        <w:lastRenderedPageBreak/>
        <w:t>Дана</w:t>
      </w:r>
      <w:proofErr w:type="spellEnd"/>
      <w:r w:rsidRPr="00F611C7">
        <w:rPr>
          <w:bCs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07 г"/>
        </w:smartTagPr>
        <w:r w:rsidRPr="00F611C7">
          <w:rPr>
            <w:bCs/>
            <w:sz w:val="28"/>
            <w:szCs w:val="28"/>
          </w:rPr>
          <w:t>2007 г</w:t>
        </w:r>
      </w:smartTag>
      <w:r w:rsidRPr="00F611C7">
        <w:rPr>
          <w:bCs/>
          <w:sz w:val="28"/>
          <w:szCs w:val="28"/>
        </w:rPr>
        <w:t>. С. 446.</w:t>
      </w:r>
    </w:p>
    <w:p w:rsidR="00F611C7" w:rsidRPr="00F611C7" w:rsidRDefault="00F611C7" w:rsidP="00B25B73">
      <w:pPr>
        <w:pStyle w:val="Default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F611C7">
        <w:rPr>
          <w:bCs/>
          <w:sz w:val="28"/>
          <w:szCs w:val="28"/>
        </w:rPr>
        <w:t xml:space="preserve">Лысенко Д.  Комплексный экономический анализ хозяйственной деятельности: Учебник. Издательство: ИНФРА-М, </w:t>
      </w:r>
      <w:smartTag w:uri="urn:schemas-microsoft-com:office:smarttags" w:element="metricconverter">
        <w:smartTagPr>
          <w:attr w:name="ProductID" w:val="2008 г"/>
        </w:smartTagPr>
        <w:r w:rsidRPr="00F611C7">
          <w:rPr>
            <w:bCs/>
            <w:sz w:val="28"/>
            <w:szCs w:val="28"/>
          </w:rPr>
          <w:t>2008 г</w:t>
        </w:r>
      </w:smartTag>
      <w:r w:rsidRPr="00F611C7">
        <w:rPr>
          <w:bCs/>
          <w:sz w:val="28"/>
          <w:szCs w:val="28"/>
        </w:rPr>
        <w:t>. С. 320.</w:t>
      </w:r>
    </w:p>
    <w:p w:rsidR="00F611C7" w:rsidRPr="008817DC" w:rsidRDefault="00F611C7" w:rsidP="00B25B73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17DC">
        <w:rPr>
          <w:rFonts w:ascii="Times New Roman" w:hAnsi="Times New Roman"/>
          <w:sz w:val="28"/>
          <w:szCs w:val="28"/>
        </w:rPr>
        <w:t>Максимцов</w:t>
      </w:r>
      <w:proofErr w:type="spellEnd"/>
      <w:r w:rsidRPr="008817DC">
        <w:rPr>
          <w:rFonts w:ascii="Times New Roman" w:hAnsi="Times New Roman"/>
          <w:sz w:val="28"/>
          <w:szCs w:val="28"/>
        </w:rPr>
        <w:t xml:space="preserve"> М.М., Игнатьева А.В., Комаров М.А. и др. Менеджмент: Учебник. - М.: ЮНИТИ, 2006. </w:t>
      </w:r>
    </w:p>
    <w:p w:rsidR="00F611C7" w:rsidRPr="00F611C7" w:rsidRDefault="00F611C7" w:rsidP="00B25B73">
      <w:pPr>
        <w:pStyle w:val="Default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F611C7">
        <w:rPr>
          <w:bCs/>
          <w:sz w:val="28"/>
          <w:szCs w:val="28"/>
        </w:rPr>
        <w:t xml:space="preserve">Методика анализа финансового состояния банка – утвержденная от 04.09.2000 г. – ИПО </w:t>
      </w:r>
      <w:proofErr w:type="spellStart"/>
      <w:r w:rsidRPr="00F611C7">
        <w:rPr>
          <w:bCs/>
          <w:sz w:val="28"/>
          <w:szCs w:val="28"/>
        </w:rPr>
        <w:t>Гарнат</w:t>
      </w:r>
      <w:proofErr w:type="spellEnd"/>
      <w:r w:rsidRPr="00F611C7">
        <w:rPr>
          <w:bCs/>
          <w:sz w:val="28"/>
          <w:szCs w:val="28"/>
        </w:rPr>
        <w:t>.</w:t>
      </w:r>
    </w:p>
    <w:p w:rsidR="00F611C7" w:rsidRPr="00F611C7" w:rsidRDefault="00F611C7" w:rsidP="00B25B73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1C7">
        <w:rPr>
          <w:rFonts w:ascii="Times New Roman" w:hAnsi="Times New Roman" w:cs="Times New Roman"/>
          <w:bCs/>
          <w:sz w:val="28"/>
          <w:szCs w:val="28"/>
        </w:rPr>
        <w:t>Методика (алгоритмы) расчета показателей финансовой устойчивости банка. – ИПО Гарант.</w:t>
      </w:r>
    </w:p>
    <w:p w:rsidR="00F611C7" w:rsidRDefault="00F611C7" w:rsidP="00B25B73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53BD">
        <w:rPr>
          <w:rFonts w:ascii="Times New Roman" w:hAnsi="Times New Roman"/>
          <w:sz w:val="28"/>
          <w:szCs w:val="28"/>
        </w:rPr>
        <w:t>Образцов</w:t>
      </w:r>
      <w:r w:rsidRPr="00AE0C1F">
        <w:rPr>
          <w:rFonts w:ascii="Times New Roman" w:hAnsi="Times New Roman"/>
          <w:sz w:val="28"/>
          <w:szCs w:val="28"/>
        </w:rPr>
        <w:t xml:space="preserve"> </w:t>
      </w:r>
      <w:r w:rsidRPr="006E53BD">
        <w:rPr>
          <w:rFonts w:ascii="Times New Roman" w:hAnsi="Times New Roman"/>
          <w:sz w:val="28"/>
          <w:szCs w:val="28"/>
        </w:rPr>
        <w:t>В.И. «10 путей к успеху». – Калининград, Янтарный сказ, 2002.</w:t>
      </w:r>
    </w:p>
    <w:p w:rsidR="00F611C7" w:rsidRPr="00723E64" w:rsidRDefault="00F611C7" w:rsidP="00B25B73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3E64">
        <w:rPr>
          <w:rFonts w:ascii="Times New Roman" w:hAnsi="Times New Roman" w:cs="Times New Roman"/>
          <w:sz w:val="28"/>
          <w:szCs w:val="28"/>
        </w:rPr>
        <w:t>Печникова</w:t>
      </w:r>
      <w:proofErr w:type="spellEnd"/>
      <w:r w:rsidRPr="00723E64">
        <w:rPr>
          <w:rFonts w:ascii="Times New Roman" w:hAnsi="Times New Roman" w:cs="Times New Roman"/>
          <w:sz w:val="28"/>
          <w:szCs w:val="28"/>
        </w:rPr>
        <w:t xml:space="preserve"> А.В., Маркова О.М., Стародубцева Е.Б. Банковские операции: учебник. – М.: ИД « ФОРУМ »: ИНФРА-М, 2007. – 368 с. – ( Профессиональное образование).</w:t>
      </w:r>
    </w:p>
    <w:p w:rsidR="002E0B82" w:rsidRPr="00F611C7" w:rsidRDefault="002E0B82" w:rsidP="00B25B73">
      <w:pPr>
        <w:pStyle w:val="Default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F611C7">
        <w:rPr>
          <w:bCs/>
          <w:sz w:val="28"/>
          <w:szCs w:val="28"/>
        </w:rPr>
        <w:t xml:space="preserve">Сводная статистическая информация по крупнейшим банкам (сайт   Центрального Банка РФ)  -  </w:t>
      </w:r>
      <w:hyperlink r:id="rId11" w:history="1">
        <w:r w:rsidRPr="00F611C7">
          <w:rPr>
            <w:rStyle w:val="a8"/>
            <w:bCs/>
            <w:sz w:val="28"/>
            <w:szCs w:val="28"/>
          </w:rPr>
          <w:t>http://www.cbr.ru/analytics/bank_system/</w:t>
        </w:r>
      </w:hyperlink>
    </w:p>
    <w:p w:rsidR="00F611C7" w:rsidRPr="00F611C7" w:rsidRDefault="00F611C7" w:rsidP="00B25B73">
      <w:pPr>
        <w:pStyle w:val="Default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ОАО «АК БАРС» - </w:t>
      </w:r>
      <w:hyperlink r:id="rId12" w:history="1">
        <w:r w:rsidRPr="00FE305E">
          <w:rPr>
            <w:rStyle w:val="a8"/>
            <w:sz w:val="28"/>
            <w:szCs w:val="28"/>
          </w:rPr>
          <w:t>http://www.akbars.ru/</w:t>
        </w:r>
      </w:hyperlink>
      <w:r>
        <w:rPr>
          <w:sz w:val="28"/>
          <w:szCs w:val="28"/>
        </w:rPr>
        <w:t xml:space="preserve"> </w:t>
      </w:r>
    </w:p>
    <w:p w:rsidR="002E0B82" w:rsidRPr="00F4641E" w:rsidRDefault="002E0B82" w:rsidP="002E0B82">
      <w:pPr>
        <w:pStyle w:val="Default"/>
        <w:spacing w:line="360" w:lineRule="auto"/>
        <w:jc w:val="both"/>
        <w:rPr>
          <w:sz w:val="28"/>
          <w:szCs w:val="28"/>
        </w:rPr>
      </w:pPr>
    </w:p>
    <w:p w:rsidR="002E0B82" w:rsidRPr="00F4641E" w:rsidRDefault="002E0B82" w:rsidP="002E0B82">
      <w:pPr>
        <w:spacing w:line="360" w:lineRule="auto"/>
        <w:jc w:val="both"/>
        <w:rPr>
          <w:sz w:val="28"/>
          <w:szCs w:val="28"/>
        </w:rPr>
      </w:pPr>
    </w:p>
    <w:p w:rsidR="002E0B82" w:rsidRPr="00F4641E" w:rsidRDefault="002E0B82" w:rsidP="002E0B82">
      <w:pPr>
        <w:spacing w:line="360" w:lineRule="auto"/>
        <w:jc w:val="both"/>
        <w:rPr>
          <w:sz w:val="28"/>
          <w:szCs w:val="28"/>
        </w:rPr>
      </w:pPr>
    </w:p>
    <w:p w:rsid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Default="00733D2D" w:rsidP="00733D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2D" w:rsidRDefault="00733D2D" w:rsidP="00F611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733D2D" w:rsidSect="009D7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056" w:rsidRDefault="00653056" w:rsidP="00733D2D">
      <w:pPr>
        <w:spacing w:after="0" w:line="240" w:lineRule="auto"/>
      </w:pPr>
      <w:r>
        <w:separator/>
      </w:r>
    </w:p>
  </w:endnote>
  <w:endnote w:type="continuationSeparator" w:id="0">
    <w:p w:rsidR="00653056" w:rsidRDefault="00653056" w:rsidP="00733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GothicBook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FranklinGothicDemi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Futuris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D2D" w:rsidRDefault="00433704">
    <w:pPr>
      <w:pStyle w:val="a6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33D2D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33D2D">
      <w:rPr>
        <w:rStyle w:val="ab"/>
        <w:noProof/>
      </w:rPr>
      <w:t>1</w:t>
    </w:r>
    <w:r>
      <w:rPr>
        <w:rStyle w:val="ab"/>
      </w:rPr>
      <w:fldChar w:fldCharType="end"/>
    </w:r>
  </w:p>
  <w:p w:rsidR="00733D2D" w:rsidRDefault="00733D2D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7736246"/>
      <w:docPartObj>
        <w:docPartGallery w:val="Page Numbers (Bottom of Page)"/>
        <w:docPartUnique/>
      </w:docPartObj>
    </w:sdtPr>
    <w:sdtContent>
      <w:p w:rsidR="00C127EE" w:rsidRDefault="00433704">
        <w:pPr>
          <w:pStyle w:val="a6"/>
          <w:jc w:val="center"/>
        </w:pPr>
        <w:r w:rsidRPr="00C127EE">
          <w:rPr>
            <w:sz w:val="24"/>
            <w:szCs w:val="24"/>
          </w:rPr>
          <w:fldChar w:fldCharType="begin"/>
        </w:r>
        <w:r w:rsidR="00C127EE" w:rsidRPr="00C127EE">
          <w:rPr>
            <w:sz w:val="24"/>
            <w:szCs w:val="24"/>
          </w:rPr>
          <w:instrText xml:space="preserve"> PAGE   \* MERGEFORMAT </w:instrText>
        </w:r>
        <w:r w:rsidRPr="00C127EE">
          <w:rPr>
            <w:sz w:val="24"/>
            <w:szCs w:val="24"/>
          </w:rPr>
          <w:fldChar w:fldCharType="separate"/>
        </w:r>
        <w:r w:rsidR="00B83F0B">
          <w:rPr>
            <w:noProof/>
            <w:sz w:val="24"/>
            <w:szCs w:val="24"/>
          </w:rPr>
          <w:t>21</w:t>
        </w:r>
        <w:r w:rsidRPr="00C127EE">
          <w:rPr>
            <w:sz w:val="24"/>
            <w:szCs w:val="24"/>
          </w:rPr>
          <w:fldChar w:fldCharType="end"/>
        </w:r>
      </w:p>
    </w:sdtContent>
  </w:sdt>
  <w:p w:rsidR="00733D2D" w:rsidRDefault="00733D2D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7736238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733D2D" w:rsidRPr="00EF4905" w:rsidRDefault="00433704" w:rsidP="00C127EE">
        <w:pPr>
          <w:pStyle w:val="a6"/>
          <w:jc w:val="center"/>
          <w:rPr>
            <w:rFonts w:ascii="Arial" w:hAnsi="Arial" w:cs="Arial"/>
            <w:sz w:val="18"/>
            <w:szCs w:val="18"/>
          </w:rPr>
        </w:pPr>
        <w:r w:rsidRPr="00C127EE">
          <w:rPr>
            <w:sz w:val="24"/>
            <w:szCs w:val="24"/>
          </w:rPr>
          <w:fldChar w:fldCharType="begin"/>
        </w:r>
        <w:r w:rsidR="00733D2D" w:rsidRPr="00C127EE">
          <w:rPr>
            <w:sz w:val="24"/>
            <w:szCs w:val="24"/>
          </w:rPr>
          <w:instrText>PAGE   \* MERGEFORMAT</w:instrText>
        </w:r>
        <w:r w:rsidRPr="00C127EE">
          <w:rPr>
            <w:sz w:val="24"/>
            <w:szCs w:val="24"/>
          </w:rPr>
          <w:fldChar w:fldCharType="separate"/>
        </w:r>
        <w:r w:rsidR="00B83F0B">
          <w:rPr>
            <w:noProof/>
            <w:sz w:val="24"/>
            <w:szCs w:val="24"/>
          </w:rPr>
          <w:t>32</w:t>
        </w:r>
        <w:r w:rsidRPr="00C127EE">
          <w:rPr>
            <w:sz w:val="24"/>
            <w:szCs w:val="24"/>
          </w:rPr>
          <w:fldChar w:fldCharType="end"/>
        </w:r>
      </w:p>
    </w:sdtContent>
  </w:sdt>
  <w:p w:rsidR="00733D2D" w:rsidRPr="0057604D" w:rsidRDefault="00733D2D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056" w:rsidRDefault="00653056" w:rsidP="00733D2D">
      <w:pPr>
        <w:spacing w:after="0" w:line="240" w:lineRule="auto"/>
      </w:pPr>
      <w:r>
        <w:separator/>
      </w:r>
    </w:p>
  </w:footnote>
  <w:footnote w:type="continuationSeparator" w:id="0">
    <w:p w:rsidR="00653056" w:rsidRDefault="00653056" w:rsidP="00733D2D">
      <w:pPr>
        <w:spacing w:after="0" w:line="240" w:lineRule="auto"/>
      </w:pPr>
      <w:r>
        <w:continuationSeparator/>
      </w:r>
    </w:p>
  </w:footnote>
  <w:footnote w:id="1">
    <w:p w:rsidR="00733D2D" w:rsidRPr="008D5086" w:rsidRDefault="00733D2D" w:rsidP="00733D2D">
      <w:pPr>
        <w:pStyle w:val="afb"/>
      </w:pPr>
      <w:r>
        <w:rPr>
          <w:rStyle w:val="afd"/>
        </w:rPr>
        <w:footnoteRef/>
      </w:r>
      <w:r>
        <w:t xml:space="preserve"> </w:t>
      </w:r>
      <w:r w:rsidRPr="00E16D72">
        <w:rPr>
          <w:rFonts w:ascii="Arial" w:hAnsi="Arial" w:cs="Arial"/>
          <w:sz w:val="14"/>
          <w:szCs w:val="14"/>
        </w:rPr>
        <w:t>По объектам недвижимости и земле, временно неиспользуемой в основной деятельности указана переоценка по текущей (справедливой) стоимости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576E"/>
    <w:multiLevelType w:val="hybridMultilevel"/>
    <w:tmpl w:val="AFE432D2"/>
    <w:lvl w:ilvl="0" w:tplc="D296676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A24FA"/>
    <w:multiLevelType w:val="hybridMultilevel"/>
    <w:tmpl w:val="74D4754A"/>
    <w:lvl w:ilvl="0" w:tplc="E666584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A47BC"/>
    <w:multiLevelType w:val="hybridMultilevel"/>
    <w:tmpl w:val="9C6AFEE0"/>
    <w:lvl w:ilvl="0" w:tplc="041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CF40A8"/>
    <w:multiLevelType w:val="hybridMultilevel"/>
    <w:tmpl w:val="7FC40C04"/>
    <w:lvl w:ilvl="0" w:tplc="D29667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6076D"/>
    <w:multiLevelType w:val="hybridMultilevel"/>
    <w:tmpl w:val="46F4911C"/>
    <w:lvl w:ilvl="0" w:tplc="E666584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F514C6"/>
    <w:multiLevelType w:val="hybridMultilevel"/>
    <w:tmpl w:val="2C8AF2E8"/>
    <w:lvl w:ilvl="0" w:tplc="0419000B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37A419EA">
      <w:numFmt w:val="bullet"/>
      <w:lvlText w:val="•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4E44A1D"/>
    <w:multiLevelType w:val="hybridMultilevel"/>
    <w:tmpl w:val="EC4CDAC2"/>
    <w:lvl w:ilvl="0" w:tplc="0419000B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DC602C6"/>
    <w:multiLevelType w:val="hybridMultilevel"/>
    <w:tmpl w:val="14289A64"/>
    <w:lvl w:ilvl="0" w:tplc="D29667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1FD5779"/>
    <w:multiLevelType w:val="hybridMultilevel"/>
    <w:tmpl w:val="F0B63BE0"/>
    <w:lvl w:ilvl="0" w:tplc="0419000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7B63DC"/>
    <w:multiLevelType w:val="hybridMultilevel"/>
    <w:tmpl w:val="5EFEB9BA"/>
    <w:lvl w:ilvl="0" w:tplc="D29667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D296676E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8225F94"/>
    <w:multiLevelType w:val="hybridMultilevel"/>
    <w:tmpl w:val="EADEDC54"/>
    <w:lvl w:ilvl="0" w:tplc="D29667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D296676E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FD3410B"/>
    <w:multiLevelType w:val="multilevel"/>
    <w:tmpl w:val="A798FA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hint="default"/>
        <w:b w:val="0"/>
        <w:vertAlign w:val="baseline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  <w:b/>
      </w:r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10"/>
  </w:num>
  <w:num w:numId="7">
    <w:abstractNumId w:val="9"/>
  </w:num>
  <w:num w:numId="8">
    <w:abstractNumId w:val="3"/>
  </w:num>
  <w:num w:numId="9">
    <w:abstractNumId w:val="4"/>
  </w:num>
  <w:num w:numId="10">
    <w:abstractNumId w:val="7"/>
  </w:num>
  <w:num w:numId="11">
    <w:abstractNumId w:val="1"/>
  </w:num>
  <w:num w:numId="12">
    <w:abstractNumId w:val="0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63FE"/>
    <w:rsid w:val="001569F0"/>
    <w:rsid w:val="00236FD5"/>
    <w:rsid w:val="002E0B82"/>
    <w:rsid w:val="00433704"/>
    <w:rsid w:val="005C2164"/>
    <w:rsid w:val="005D6F61"/>
    <w:rsid w:val="00653056"/>
    <w:rsid w:val="00711132"/>
    <w:rsid w:val="00733D2D"/>
    <w:rsid w:val="00795E2B"/>
    <w:rsid w:val="008763FE"/>
    <w:rsid w:val="008C6EDD"/>
    <w:rsid w:val="008E5E10"/>
    <w:rsid w:val="009472FE"/>
    <w:rsid w:val="009D7033"/>
    <w:rsid w:val="00B25B73"/>
    <w:rsid w:val="00B83F0B"/>
    <w:rsid w:val="00C127EE"/>
    <w:rsid w:val="00C50FBC"/>
    <w:rsid w:val="00C574AA"/>
    <w:rsid w:val="00CF7F74"/>
    <w:rsid w:val="00F409FF"/>
    <w:rsid w:val="00F61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033"/>
  </w:style>
  <w:style w:type="paragraph" w:styleId="1">
    <w:name w:val="heading 1"/>
    <w:basedOn w:val="a"/>
    <w:next w:val="a"/>
    <w:link w:val="10"/>
    <w:qFormat/>
    <w:rsid w:val="00733D2D"/>
    <w:pPr>
      <w:keepNext/>
      <w:spacing w:after="0" w:line="240" w:lineRule="auto"/>
      <w:ind w:firstLine="720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3D2D"/>
    <w:pPr>
      <w:keepNext/>
      <w:spacing w:after="0" w:line="240" w:lineRule="auto"/>
      <w:ind w:firstLine="360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33D2D"/>
    <w:pPr>
      <w:keepNext/>
      <w:spacing w:after="0" w:line="240" w:lineRule="auto"/>
      <w:ind w:left="720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733D2D"/>
    <w:pPr>
      <w:keepNext/>
      <w:spacing w:after="0" w:line="240" w:lineRule="auto"/>
      <w:ind w:left="825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733D2D"/>
    <w:pPr>
      <w:keepNext/>
      <w:spacing w:after="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733D2D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733D2D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733D2D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733D2D"/>
    <w:pPr>
      <w:keepNext/>
      <w:spacing w:after="0" w:line="240" w:lineRule="auto"/>
      <w:ind w:firstLine="851"/>
      <w:outlineLvl w:val="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3D2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33D2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33D2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33D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33D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33D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33D2D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33D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33D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733D2D"/>
    <w:pPr>
      <w:ind w:left="720"/>
      <w:contextualSpacing/>
    </w:pPr>
  </w:style>
  <w:style w:type="paragraph" w:styleId="a4">
    <w:name w:val="Body Text"/>
    <w:basedOn w:val="a"/>
    <w:link w:val="a5"/>
    <w:rsid w:val="00733D2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33D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rsid w:val="00733D2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733D2D"/>
    <w:rPr>
      <w:rFonts w:ascii="Times New Roman" w:eastAsia="Times New Roman" w:hAnsi="Times New Roman" w:cs="Times New Roman"/>
      <w:sz w:val="28"/>
      <w:szCs w:val="20"/>
    </w:rPr>
  </w:style>
  <w:style w:type="character" w:styleId="a8">
    <w:name w:val="Hyperlink"/>
    <w:uiPriority w:val="99"/>
    <w:rsid w:val="00733D2D"/>
    <w:rPr>
      <w:color w:val="0000FF"/>
      <w:u w:val="single"/>
    </w:rPr>
  </w:style>
  <w:style w:type="paragraph" w:customStyle="1" w:styleId="H3">
    <w:name w:val="H3"/>
    <w:basedOn w:val="a"/>
    <w:next w:val="a"/>
    <w:rsid w:val="00733D2D"/>
    <w:pPr>
      <w:keepNext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21">
    <w:name w:val="Body Text 2"/>
    <w:basedOn w:val="a"/>
    <w:link w:val="22"/>
    <w:rsid w:val="00733D2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733D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rsid w:val="00733D2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733D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age number"/>
    <w:basedOn w:val="a0"/>
    <w:rsid w:val="00733D2D"/>
  </w:style>
  <w:style w:type="paragraph" w:styleId="31">
    <w:name w:val="Body Text 3"/>
    <w:basedOn w:val="a"/>
    <w:link w:val="32"/>
    <w:rsid w:val="00733D2D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character" w:customStyle="1" w:styleId="32">
    <w:name w:val="Основной текст 3 Знак"/>
    <w:basedOn w:val="a0"/>
    <w:link w:val="31"/>
    <w:rsid w:val="00733D2D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23">
    <w:name w:val="Body Text Indent 2"/>
    <w:basedOn w:val="a"/>
    <w:link w:val="24"/>
    <w:rsid w:val="00733D2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733D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733D2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color w:val="0000FF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733D2D"/>
    <w:rPr>
      <w:rFonts w:ascii="Times New Roman" w:eastAsia="Times New Roman" w:hAnsi="Times New Roman" w:cs="Times New Roman"/>
      <w:color w:val="0000FF"/>
      <w:sz w:val="28"/>
      <w:szCs w:val="20"/>
      <w:lang w:eastAsia="ru-RU"/>
    </w:rPr>
  </w:style>
  <w:style w:type="character" w:styleId="ac">
    <w:name w:val="FollowedHyperlink"/>
    <w:rsid w:val="00733D2D"/>
    <w:rPr>
      <w:color w:val="800080"/>
      <w:u w:val="single"/>
    </w:rPr>
  </w:style>
  <w:style w:type="paragraph" w:customStyle="1" w:styleId="xl22">
    <w:name w:val="xl22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paragraph" w:customStyle="1" w:styleId="xl23">
    <w:name w:val="xl23"/>
    <w:basedOn w:val="a"/>
    <w:rsid w:val="00733D2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4">
    <w:name w:val="xl24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paragraph" w:customStyle="1" w:styleId="xl25">
    <w:name w:val="xl25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paragraph" w:customStyle="1" w:styleId="xl26">
    <w:name w:val="xl26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paragraph" w:customStyle="1" w:styleId="xl27">
    <w:name w:val="xl27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paragraph" w:customStyle="1" w:styleId="xl28">
    <w:name w:val="xl28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9">
    <w:name w:val="xl29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xl30">
    <w:name w:val="xl30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xl31">
    <w:name w:val="xl31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xl32">
    <w:name w:val="xl32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33">
    <w:name w:val="xl33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paragraph" w:customStyle="1" w:styleId="xl34">
    <w:name w:val="xl34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xl35">
    <w:name w:val="xl35"/>
    <w:basedOn w:val="a"/>
    <w:rsid w:val="00733D2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paragraph" w:customStyle="1" w:styleId="xl36">
    <w:name w:val="xl36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CYR" w:eastAsia="Arial Unicode MS" w:hAnsi="Times New Roman CYR" w:cs="Times New Roman CYR"/>
      <w:sz w:val="28"/>
      <w:szCs w:val="28"/>
      <w:lang w:eastAsia="ru-RU"/>
    </w:rPr>
  </w:style>
  <w:style w:type="paragraph" w:customStyle="1" w:styleId="xl37">
    <w:name w:val="xl37"/>
    <w:basedOn w:val="a"/>
    <w:rsid w:val="00733D2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CYR" w:eastAsia="Arial Unicode MS" w:hAnsi="Times New Roman CYR" w:cs="Times New Roman CYR"/>
      <w:sz w:val="28"/>
      <w:szCs w:val="28"/>
      <w:lang w:eastAsia="ru-RU"/>
    </w:rPr>
  </w:style>
  <w:style w:type="paragraph" w:customStyle="1" w:styleId="xl38">
    <w:name w:val="xl38"/>
    <w:basedOn w:val="a"/>
    <w:rsid w:val="00733D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xl39">
    <w:name w:val="xl39"/>
    <w:basedOn w:val="a"/>
    <w:rsid w:val="00733D2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40">
    <w:name w:val="xl40"/>
    <w:basedOn w:val="a"/>
    <w:rsid w:val="00733D2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txt">
    <w:name w:val="txt"/>
    <w:basedOn w:val="a"/>
    <w:rsid w:val="00733D2D"/>
    <w:pPr>
      <w:spacing w:before="100" w:beforeAutospacing="1" w:after="100" w:afterAutospacing="1" w:line="240" w:lineRule="auto"/>
    </w:pPr>
    <w:rPr>
      <w:rFonts w:ascii="Tahoma" w:eastAsia="Arial Unicode MS" w:hAnsi="Tahoma" w:cs="Tahoma"/>
      <w:sz w:val="17"/>
      <w:szCs w:val="17"/>
      <w:lang w:eastAsia="ru-RU"/>
    </w:rPr>
  </w:style>
  <w:style w:type="paragraph" w:customStyle="1" w:styleId="Web">
    <w:name w:val="Обычный (Web)"/>
    <w:basedOn w:val="a"/>
    <w:rsid w:val="00733D2D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Title">
    <w:name w:val="ConsTitle"/>
    <w:rsid w:val="00733D2D"/>
    <w:pPr>
      <w:spacing w:after="0" w:line="240" w:lineRule="auto"/>
      <w:ind w:right="19772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customStyle="1" w:styleId="Default">
    <w:name w:val="Default"/>
    <w:rsid w:val="00733D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Plain Text"/>
    <w:basedOn w:val="a"/>
    <w:link w:val="ae"/>
    <w:rsid w:val="00733D2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733D2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date2">
    <w:name w:val="date2"/>
    <w:rsid w:val="00733D2D"/>
    <w:rPr>
      <w:b/>
      <w:bCs/>
      <w:color w:val="777777"/>
      <w:sz w:val="22"/>
      <w:szCs w:val="22"/>
    </w:rPr>
  </w:style>
  <w:style w:type="paragraph" w:styleId="af">
    <w:name w:val="Normal (Web)"/>
    <w:aliases w:val="Обычный (веб)1,Обычный (веб) Знак,Обычный (веб) Знак1,Обычный (веб) Знак Знак"/>
    <w:basedOn w:val="a"/>
    <w:rsid w:val="00733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semiHidden/>
    <w:rsid w:val="00733D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semiHidden/>
    <w:rsid w:val="00733D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body">
    <w:name w:val="body"/>
    <w:basedOn w:val="a"/>
    <w:rsid w:val="00733D2D"/>
    <w:pPr>
      <w:tabs>
        <w:tab w:val="left" w:pos="568"/>
        <w:tab w:val="left" w:pos="7088"/>
      </w:tabs>
      <w:autoSpaceDE w:val="0"/>
      <w:autoSpaceDN w:val="0"/>
      <w:adjustRightInd w:val="0"/>
      <w:spacing w:after="0" w:line="230" w:lineRule="atLeast"/>
      <w:ind w:firstLine="227"/>
      <w:jc w:val="both"/>
      <w:textAlignment w:val="center"/>
    </w:pPr>
    <w:rPr>
      <w:rFonts w:ascii="FranklinGothicBookC" w:eastAsia="Times New Roman" w:hAnsi="FranklinGothicBookC" w:cs="FranklinGothicBookC"/>
      <w:color w:val="000000"/>
      <w:sz w:val="18"/>
      <w:szCs w:val="18"/>
      <w:lang w:eastAsia="ru-RU"/>
    </w:rPr>
  </w:style>
  <w:style w:type="character" w:customStyle="1" w:styleId="italic">
    <w:name w:val="italic"/>
    <w:rsid w:val="00733D2D"/>
    <w:rPr>
      <w:i/>
      <w:iCs/>
      <w:color w:val="000000"/>
      <w:w w:val="100"/>
      <w:u w:val="none"/>
    </w:rPr>
  </w:style>
  <w:style w:type="character" w:customStyle="1" w:styleId="counts">
    <w:name w:val="counts"/>
    <w:rsid w:val="00733D2D"/>
    <w:rPr>
      <w:rFonts w:ascii="FranklinGothicDemiC" w:hAnsi="FranklinGothicDemiC" w:cs="FranklinGothicDemiC"/>
    </w:rPr>
  </w:style>
  <w:style w:type="character" w:customStyle="1" w:styleId="bold-italic">
    <w:name w:val="bold-italic"/>
    <w:rsid w:val="00733D2D"/>
    <w:rPr>
      <w:rFonts w:ascii="FuturisC" w:hAnsi="FuturisC" w:cs="FuturisC"/>
      <w:b/>
      <w:bCs/>
      <w:i/>
      <w:iCs/>
    </w:rPr>
  </w:style>
  <w:style w:type="character" w:customStyle="1" w:styleId="date4">
    <w:name w:val="date4"/>
    <w:rsid w:val="00733D2D"/>
    <w:rPr>
      <w:b/>
      <w:bCs/>
      <w:color w:val="777777"/>
      <w:sz w:val="22"/>
      <w:szCs w:val="22"/>
    </w:rPr>
  </w:style>
  <w:style w:type="paragraph" w:customStyle="1" w:styleId="af2">
    <w:name w:val="Знак Знак Знак Знак"/>
    <w:basedOn w:val="a"/>
    <w:next w:val="1"/>
    <w:rsid w:val="00733D2D"/>
    <w:pPr>
      <w:spacing w:after="160" w:line="240" w:lineRule="exact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3">
    <w:name w:val="annotation text"/>
    <w:basedOn w:val="a"/>
    <w:link w:val="af4"/>
    <w:semiHidden/>
    <w:rsid w:val="00733D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semiHidden/>
    <w:rsid w:val="00733D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semiHidden/>
    <w:rsid w:val="00733D2D"/>
    <w:rPr>
      <w:b/>
      <w:bCs/>
    </w:rPr>
  </w:style>
  <w:style w:type="character" w:customStyle="1" w:styleId="af6">
    <w:name w:val="Тема примечания Знак"/>
    <w:basedOn w:val="af4"/>
    <w:link w:val="af5"/>
    <w:semiHidden/>
    <w:rsid w:val="00733D2D"/>
    <w:rPr>
      <w:b/>
      <w:bCs/>
    </w:rPr>
  </w:style>
  <w:style w:type="paragraph" w:customStyle="1" w:styleId="ConsNormal">
    <w:name w:val="ConsNormal"/>
    <w:rsid w:val="00733D2D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7">
    <w:name w:val="Знак"/>
    <w:basedOn w:val="a"/>
    <w:rsid w:val="00733D2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f8">
    <w:name w:val="Table Grid"/>
    <w:basedOn w:val="a1"/>
    <w:uiPriority w:val="59"/>
    <w:rsid w:val="00733D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ef">
    <w:name w:val="date_f"/>
    <w:rsid w:val="00733D2D"/>
    <w:rPr>
      <w:i/>
      <w:iCs/>
      <w:vanish w:val="0"/>
      <w:webHidden w:val="0"/>
      <w:color w:val="666666"/>
      <w:specVanish w:val="0"/>
    </w:rPr>
  </w:style>
  <w:style w:type="paragraph" w:styleId="af9">
    <w:name w:val="Title"/>
    <w:basedOn w:val="a"/>
    <w:link w:val="afa"/>
    <w:qFormat/>
    <w:rsid w:val="00733D2D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</w:rPr>
  </w:style>
  <w:style w:type="character" w:customStyle="1" w:styleId="afa">
    <w:name w:val="Название Знак"/>
    <w:basedOn w:val="a0"/>
    <w:link w:val="af9"/>
    <w:rsid w:val="00733D2D"/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</w:rPr>
  </w:style>
  <w:style w:type="paragraph" w:customStyle="1" w:styleId="ConsCell">
    <w:name w:val="ConsCell"/>
    <w:rsid w:val="00733D2D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fb">
    <w:name w:val="footnote text"/>
    <w:basedOn w:val="a"/>
    <w:link w:val="afc"/>
    <w:uiPriority w:val="99"/>
    <w:unhideWhenUsed/>
    <w:rsid w:val="00733D2D"/>
    <w:rPr>
      <w:rFonts w:ascii="Calibri" w:eastAsia="Calibri" w:hAnsi="Calibri" w:cs="Times New Roman"/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rsid w:val="00733D2D"/>
    <w:rPr>
      <w:rFonts w:ascii="Calibri" w:eastAsia="Calibri" w:hAnsi="Calibri" w:cs="Times New Roman"/>
      <w:sz w:val="20"/>
      <w:szCs w:val="20"/>
    </w:rPr>
  </w:style>
  <w:style w:type="character" w:styleId="afd">
    <w:name w:val="footnote reference"/>
    <w:unhideWhenUsed/>
    <w:rsid w:val="00733D2D"/>
    <w:rPr>
      <w:vertAlign w:val="superscript"/>
    </w:rPr>
  </w:style>
  <w:style w:type="character" w:styleId="afe">
    <w:name w:val="Strong"/>
    <w:uiPriority w:val="22"/>
    <w:qFormat/>
    <w:rsid w:val="00733D2D"/>
    <w:rPr>
      <w:b/>
      <w:bCs/>
    </w:rPr>
  </w:style>
  <w:style w:type="paragraph" w:customStyle="1" w:styleId="Columnheader">
    <w:name w:val="Column header"/>
    <w:basedOn w:val="a"/>
    <w:rsid w:val="00733D2D"/>
    <w:pPr>
      <w:tabs>
        <w:tab w:val="decimal" w:pos="1503"/>
      </w:tabs>
      <w:spacing w:after="0" w:line="228" w:lineRule="auto"/>
      <w:ind w:right="-56"/>
    </w:pPr>
    <w:rPr>
      <w:rFonts w:ascii="Arial" w:eastAsia="Times New Roman" w:hAnsi="Arial" w:cs="Times New Roman"/>
      <w:b/>
      <w:sz w:val="18"/>
      <w:szCs w:val="20"/>
      <w:lang w:val="en-GB" w:eastAsia="ru-RU"/>
    </w:rPr>
  </w:style>
  <w:style w:type="paragraph" w:customStyle="1" w:styleId="Tablenumbers1">
    <w:name w:val="Table numbers1"/>
    <w:rsid w:val="00733D2D"/>
    <w:pPr>
      <w:tabs>
        <w:tab w:val="decimal" w:pos="1503"/>
      </w:tabs>
      <w:spacing w:after="0" w:line="240" w:lineRule="auto"/>
      <w:ind w:right="-56"/>
    </w:pPr>
    <w:rPr>
      <w:rFonts w:ascii="Arial" w:eastAsia="Times New Roman" w:hAnsi="Arial" w:cs="Times New Roman"/>
      <w:sz w:val="18"/>
      <w:szCs w:val="20"/>
      <w:lang w:val="en-GB" w:eastAsia="ru-RU"/>
    </w:rPr>
  </w:style>
  <w:style w:type="paragraph" w:customStyle="1" w:styleId="RRthousands">
    <w:name w:val="RR thousands"/>
    <w:basedOn w:val="a"/>
    <w:link w:val="RRthousandsChar"/>
    <w:rsid w:val="00733D2D"/>
    <w:pPr>
      <w:spacing w:after="0" w:line="240" w:lineRule="auto"/>
      <w:ind w:left="86" w:hanging="86"/>
    </w:pPr>
    <w:rPr>
      <w:rFonts w:ascii="Arial" w:eastAsia="Times New Roman" w:hAnsi="Arial" w:cs="Times New Roman"/>
      <w:i/>
      <w:sz w:val="16"/>
      <w:szCs w:val="20"/>
      <w:lang w:val="en-GB" w:eastAsia="ru-RU"/>
    </w:rPr>
  </w:style>
  <w:style w:type="character" w:customStyle="1" w:styleId="RRthousandsChar">
    <w:name w:val="RR thousands Char"/>
    <w:link w:val="RRthousands"/>
    <w:rsid w:val="00733D2D"/>
    <w:rPr>
      <w:rFonts w:ascii="Arial" w:eastAsia="Times New Roman" w:hAnsi="Arial" w:cs="Times New Roman"/>
      <w:i/>
      <w:sz w:val="16"/>
      <w:szCs w:val="20"/>
      <w:lang w:val="en-GB" w:eastAsia="ru-RU"/>
    </w:rPr>
  </w:style>
  <w:style w:type="paragraph" w:customStyle="1" w:styleId="Tabletext">
    <w:name w:val="Table text"/>
    <w:basedOn w:val="a"/>
    <w:rsid w:val="00733D2D"/>
    <w:pPr>
      <w:spacing w:after="0" w:line="240" w:lineRule="auto"/>
      <w:ind w:left="85" w:hanging="85"/>
    </w:pPr>
    <w:rPr>
      <w:rFonts w:ascii="Arial" w:eastAsia="Times New Roman" w:hAnsi="Arial" w:cs="Times New Roman"/>
      <w:sz w:val="18"/>
      <w:szCs w:val="20"/>
      <w:lang w:val="en-GB" w:eastAsia="ru-RU"/>
    </w:rPr>
  </w:style>
  <w:style w:type="paragraph" w:customStyle="1" w:styleId="ABC-paragrahinNotes">
    <w:name w:val="ABC - paragrah in Notes"/>
    <w:link w:val="ABC-paragrahinNotesChar1"/>
    <w:qFormat/>
    <w:rsid w:val="00733D2D"/>
    <w:pPr>
      <w:spacing w:after="240" w:line="240" w:lineRule="auto"/>
      <w:jc w:val="both"/>
    </w:pPr>
    <w:rPr>
      <w:rFonts w:ascii="Arial" w:eastAsia="Times New Roman" w:hAnsi="Arial" w:cs="Times New Roman"/>
      <w:sz w:val="20"/>
      <w:szCs w:val="20"/>
      <w:lang w:val="en-GB" w:eastAsia="ru-RU"/>
    </w:rPr>
  </w:style>
  <w:style w:type="character" w:customStyle="1" w:styleId="ABC-paragrahinNotesChar1">
    <w:name w:val="ABC - paragrah in Notes Char1"/>
    <w:link w:val="ABC-paragrahinNotes"/>
    <w:locked/>
    <w:rsid w:val="00733D2D"/>
    <w:rPr>
      <w:rFonts w:ascii="Arial" w:eastAsia="Times New Roman" w:hAnsi="Arial" w:cs="Times New Roman"/>
      <w:sz w:val="20"/>
      <w:szCs w:val="20"/>
      <w:lang w:val="en-GB" w:eastAsia="ru-RU"/>
    </w:rPr>
  </w:style>
  <w:style w:type="paragraph" w:customStyle="1" w:styleId="Rowheader">
    <w:name w:val="Row header"/>
    <w:basedOn w:val="a"/>
    <w:rsid w:val="00733D2D"/>
    <w:pPr>
      <w:spacing w:after="0" w:line="240" w:lineRule="auto"/>
      <w:ind w:left="85" w:hanging="85"/>
    </w:pPr>
    <w:rPr>
      <w:rFonts w:ascii="Arial" w:eastAsia="Times New Roman" w:hAnsi="Arial" w:cs="Times New Roman"/>
      <w:b/>
      <w:sz w:val="18"/>
      <w:szCs w:val="20"/>
      <w:lang w:val="en-GB" w:eastAsia="ru-RU"/>
    </w:rPr>
  </w:style>
  <w:style w:type="paragraph" w:styleId="aff">
    <w:name w:val="endnote text"/>
    <w:basedOn w:val="a"/>
    <w:link w:val="aff0"/>
    <w:rsid w:val="00733D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кст концевой сноски Знак"/>
    <w:basedOn w:val="a0"/>
    <w:link w:val="aff"/>
    <w:rsid w:val="00733D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endnote reference"/>
    <w:rsid w:val="00733D2D"/>
    <w:rPr>
      <w:vertAlign w:val="superscript"/>
    </w:rPr>
  </w:style>
  <w:style w:type="paragraph" w:customStyle="1" w:styleId="ConsPlusCell">
    <w:name w:val="ConsPlusCell"/>
    <w:uiPriority w:val="99"/>
    <w:rsid w:val="00733D2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ff2">
    <w:name w:val="header"/>
    <w:basedOn w:val="a"/>
    <w:link w:val="aff3"/>
    <w:rsid w:val="00733D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Верхний колонтитул Знак"/>
    <w:basedOn w:val="a0"/>
    <w:link w:val="aff2"/>
    <w:rsid w:val="00733D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72873BB58A4DED866D2BE34882C06C">
    <w:name w:val="3372873BB58A4DED866D2BE34882C06C"/>
    <w:rsid w:val="00733D2D"/>
    <w:rPr>
      <w:rFonts w:ascii="Calibri" w:eastAsia="Times New Roman" w:hAnsi="Calibri" w:cs="Times New Roman"/>
      <w:lang w:eastAsia="ru-RU"/>
    </w:rPr>
  </w:style>
  <w:style w:type="paragraph" w:styleId="aff4">
    <w:name w:val="TOC Heading"/>
    <w:basedOn w:val="1"/>
    <w:next w:val="a"/>
    <w:uiPriority w:val="39"/>
    <w:semiHidden/>
    <w:unhideWhenUsed/>
    <w:qFormat/>
    <w:rsid w:val="00733D2D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</w:rPr>
  </w:style>
  <w:style w:type="paragraph" w:styleId="11">
    <w:name w:val="toc 1"/>
    <w:basedOn w:val="a"/>
    <w:next w:val="a"/>
    <w:autoRedefine/>
    <w:uiPriority w:val="39"/>
    <w:rsid w:val="00733D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5">
    <w:name w:val="Subtitle"/>
    <w:basedOn w:val="a"/>
    <w:next w:val="a"/>
    <w:link w:val="aff6"/>
    <w:qFormat/>
    <w:rsid w:val="00733D2D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ff6">
    <w:name w:val="Подзаголовок Знак"/>
    <w:basedOn w:val="a0"/>
    <w:link w:val="aff5"/>
    <w:rsid w:val="00733D2D"/>
    <w:rPr>
      <w:rFonts w:ascii="Cambria" w:eastAsia="Times New Roman" w:hAnsi="Cambria" w:cs="Times New Roman"/>
      <w:sz w:val="24"/>
      <w:szCs w:val="24"/>
      <w:lang w:eastAsia="ru-RU"/>
    </w:rPr>
  </w:style>
  <w:style w:type="paragraph" w:styleId="25">
    <w:name w:val="toc 2"/>
    <w:basedOn w:val="a"/>
    <w:next w:val="a"/>
    <w:autoRedefine/>
    <w:uiPriority w:val="39"/>
    <w:rsid w:val="00733D2D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kbar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br.ru/analytics/bank_system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5E1DC-1B24-46F6-89FA-C11A124A9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6915</Words>
  <Characters>39416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Убылицина</dc:creator>
  <cp:keywords/>
  <dc:description/>
  <cp:lastModifiedBy>Убылицина</cp:lastModifiedBy>
  <cp:revision>6</cp:revision>
  <dcterms:created xsi:type="dcterms:W3CDTF">2014-11-05T06:30:00Z</dcterms:created>
  <dcterms:modified xsi:type="dcterms:W3CDTF">2014-11-06T09:44:00Z</dcterms:modified>
</cp:coreProperties>
</file>